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60DD11" w14:textId="29D6DA19" w:rsidR="00A268E6" w:rsidRDefault="00A268E6" w:rsidP="00A268E6">
      <w:pPr>
        <w:pStyle w:val="CRCoverPage"/>
        <w:tabs>
          <w:tab w:val="right" w:pos="9639"/>
        </w:tabs>
        <w:spacing w:after="0"/>
        <w:rPr>
          <w:b/>
          <w:i/>
          <w:sz w:val="28"/>
        </w:rPr>
      </w:pPr>
      <w:r>
        <w:rPr>
          <w:b/>
          <w:sz w:val="24"/>
        </w:rPr>
        <w:t>3GPP TSG-RAN2#118</w:t>
      </w:r>
      <w:r>
        <w:rPr>
          <w:b/>
          <w:noProof/>
          <w:sz w:val="24"/>
        </w:rPr>
        <w:t xml:space="preserve"> Meeting</w:t>
      </w:r>
      <w:r>
        <w:rPr>
          <w:b/>
          <w:i/>
          <w:sz w:val="28"/>
        </w:rPr>
        <w:tab/>
      </w:r>
      <w:r w:rsidR="00DA56DD" w:rsidRPr="00DA56DD">
        <w:rPr>
          <w:b/>
          <w:i/>
          <w:sz w:val="28"/>
        </w:rPr>
        <w:t>R2-2204997</w:t>
      </w:r>
    </w:p>
    <w:p w14:paraId="5A0245FB" w14:textId="55E9E920" w:rsidR="0043389E" w:rsidRPr="00A268E6" w:rsidRDefault="00A268E6" w:rsidP="00A268E6">
      <w:pPr>
        <w:pStyle w:val="CRCoverPage"/>
        <w:outlineLvl w:val="0"/>
        <w:rPr>
          <w:b/>
          <w:sz w:val="24"/>
        </w:rPr>
      </w:pPr>
      <w:r>
        <w:rPr>
          <w:rFonts w:cs="Arial"/>
          <w:b/>
          <w:sz w:val="24"/>
        </w:rPr>
        <w:t xml:space="preserve">Electronic, </w:t>
      </w:r>
      <w:r>
        <w:rPr>
          <w:b/>
          <w:noProof/>
          <w:sz w:val="24"/>
        </w:rPr>
        <w:t>9</w:t>
      </w:r>
      <w:r w:rsidRPr="00867990">
        <w:rPr>
          <w:b/>
          <w:noProof/>
          <w:sz w:val="24"/>
          <w:vertAlign w:val="superscript"/>
        </w:rPr>
        <w:t>th</w:t>
      </w:r>
      <w:r>
        <w:rPr>
          <w:b/>
          <w:noProof/>
          <w:sz w:val="24"/>
        </w:rPr>
        <w:t>–</w:t>
      </w:r>
      <w:r w:rsidRPr="0048035A">
        <w:rPr>
          <w:b/>
          <w:noProof/>
          <w:sz w:val="24"/>
        </w:rPr>
        <w:t xml:space="preserve"> </w:t>
      </w:r>
      <w:r>
        <w:rPr>
          <w:b/>
          <w:noProof/>
          <w:sz w:val="24"/>
        </w:rPr>
        <w:t>20</w:t>
      </w:r>
      <w:r w:rsidR="00BE7A5C">
        <w:rPr>
          <w:b/>
          <w:noProof/>
          <w:sz w:val="24"/>
          <w:vertAlign w:val="superscript"/>
        </w:rPr>
        <w:t>th</w:t>
      </w:r>
      <w:r>
        <w:rPr>
          <w:b/>
          <w:noProof/>
          <w:sz w:val="24"/>
        </w:rPr>
        <w:t xml:space="preserve"> May</w:t>
      </w:r>
      <w:r w:rsidRPr="0048035A">
        <w:rPr>
          <w:b/>
          <w:noProof/>
          <w:sz w:val="24"/>
        </w:rPr>
        <w:t>, 2022</w:t>
      </w:r>
    </w:p>
    <w:p w14:paraId="4F05317F" w14:textId="77777777" w:rsidR="0043389E" w:rsidRPr="0047405A" w:rsidRDefault="0043389E" w:rsidP="0043389E">
      <w:pPr>
        <w:pStyle w:val="a3"/>
        <w:tabs>
          <w:tab w:val="clear" w:pos="8306"/>
          <w:tab w:val="right" w:pos="7088"/>
          <w:tab w:val="right" w:pos="9781"/>
        </w:tabs>
        <w:rPr>
          <w:rFonts w:ascii="Arial" w:eastAsia="MS Mincho" w:hAnsi="Arial" w:cs="Arial"/>
          <w:b/>
          <w:bCs/>
          <w:sz w:val="28"/>
          <w:lang w:val="en-US" w:eastAsia="ja-JP"/>
        </w:rPr>
      </w:pPr>
    </w:p>
    <w:p w14:paraId="450A596F" w14:textId="74CABD7E" w:rsidR="005A6C01" w:rsidRPr="00291E19" w:rsidRDefault="005A6C01" w:rsidP="00B20C0B">
      <w:pPr>
        <w:spacing w:after="60"/>
        <w:ind w:left="1985" w:hanging="1985"/>
        <w:rPr>
          <w:rFonts w:ascii="Arial" w:eastAsia="MS Mincho" w:hAnsi="Arial" w:cs="Arial"/>
          <w:bCs/>
          <w:lang w:eastAsia="ja-JP"/>
        </w:rPr>
      </w:pPr>
      <w:r w:rsidRPr="00291E19">
        <w:rPr>
          <w:rFonts w:ascii="Arial" w:hAnsi="Arial" w:cs="Arial"/>
          <w:b/>
        </w:rPr>
        <w:t>Title:</w:t>
      </w:r>
      <w:r w:rsidRPr="00291E19">
        <w:rPr>
          <w:rFonts w:ascii="Arial" w:hAnsi="Arial" w:cs="Arial"/>
          <w:b/>
        </w:rPr>
        <w:tab/>
      </w:r>
      <w:r w:rsidR="00154CCF" w:rsidRPr="00720C31">
        <w:rPr>
          <w:rFonts w:ascii="Arial" w:hAnsi="Arial" w:cs="Arial"/>
          <w:b/>
        </w:rPr>
        <w:t xml:space="preserve">Draft </w:t>
      </w:r>
      <w:r w:rsidR="004C53DD" w:rsidRPr="00720C31">
        <w:rPr>
          <w:rFonts w:ascii="Arial" w:eastAsia="MS Mincho" w:hAnsi="Arial" w:cs="Arial"/>
          <w:b/>
          <w:bCs/>
          <w:lang w:eastAsia="ja-JP"/>
        </w:rPr>
        <w:t>L</w:t>
      </w:r>
      <w:r w:rsidR="00154CCF" w:rsidRPr="00720C31">
        <w:rPr>
          <w:rFonts w:ascii="Arial" w:eastAsia="MS Mincho" w:hAnsi="Arial" w:cs="Arial"/>
          <w:b/>
          <w:bCs/>
          <w:lang w:eastAsia="ja-JP"/>
        </w:rPr>
        <w:t>S on GNSS integrity</w:t>
      </w:r>
      <w:r w:rsidR="00797D7C" w:rsidRPr="00720C31">
        <w:rPr>
          <w:rFonts w:ascii="Arial" w:eastAsia="MS Mincho" w:hAnsi="Arial" w:cs="Arial"/>
          <w:b/>
          <w:bCs/>
          <w:lang w:eastAsia="ja-JP"/>
        </w:rPr>
        <w:t xml:space="preserve"> </w:t>
      </w:r>
    </w:p>
    <w:p w14:paraId="3915DF53" w14:textId="06964123" w:rsidR="009F52ED" w:rsidRPr="00291E19" w:rsidRDefault="009F52ED" w:rsidP="009F52ED">
      <w:pPr>
        <w:spacing w:after="60"/>
        <w:ind w:left="1985" w:hanging="1985"/>
        <w:rPr>
          <w:rFonts w:ascii="Arial" w:hAnsi="Arial" w:cs="Arial"/>
          <w:bCs/>
        </w:rPr>
      </w:pPr>
      <w:r w:rsidRPr="00291E19">
        <w:rPr>
          <w:rFonts w:ascii="Arial" w:hAnsi="Arial" w:cs="Arial"/>
          <w:b/>
        </w:rPr>
        <w:t>Response to:</w:t>
      </w:r>
    </w:p>
    <w:p w14:paraId="1725517D" w14:textId="3560E69E" w:rsidR="005A6C01" w:rsidRPr="00291E19" w:rsidRDefault="005A6C01">
      <w:pPr>
        <w:spacing w:after="60"/>
        <w:ind w:left="1985" w:hanging="1985"/>
        <w:rPr>
          <w:rFonts w:ascii="Arial" w:eastAsia="MS Mincho" w:hAnsi="Arial" w:cs="Arial"/>
          <w:bCs/>
          <w:lang w:eastAsia="ja-JP"/>
        </w:rPr>
      </w:pPr>
      <w:r w:rsidRPr="00291E19">
        <w:rPr>
          <w:rFonts w:ascii="Arial" w:hAnsi="Arial" w:cs="Arial"/>
          <w:b/>
        </w:rPr>
        <w:t>Release:</w:t>
      </w:r>
      <w:r w:rsidRPr="00291E19">
        <w:rPr>
          <w:rFonts w:ascii="Arial" w:hAnsi="Arial" w:cs="Arial"/>
          <w:bCs/>
        </w:rPr>
        <w:tab/>
      </w:r>
      <w:r w:rsidR="00C76BA3" w:rsidRPr="00291E19">
        <w:rPr>
          <w:rFonts w:ascii="Arial" w:hAnsi="Arial" w:cs="Arial"/>
          <w:bCs/>
        </w:rPr>
        <w:t>Rel-</w:t>
      </w:r>
      <w:r w:rsidR="002F50C1" w:rsidRPr="00291E19">
        <w:rPr>
          <w:rFonts w:ascii="Arial" w:eastAsia="MS Mincho" w:hAnsi="Arial" w:cs="Arial"/>
          <w:bCs/>
          <w:lang w:eastAsia="ja-JP"/>
        </w:rPr>
        <w:t>1</w:t>
      </w:r>
      <w:r w:rsidR="0043389E" w:rsidRPr="00291E19">
        <w:rPr>
          <w:rFonts w:ascii="Arial" w:eastAsia="MS Mincho" w:hAnsi="Arial" w:cs="Arial"/>
          <w:bCs/>
          <w:lang w:eastAsia="ja-JP"/>
        </w:rPr>
        <w:t>7</w:t>
      </w:r>
    </w:p>
    <w:p w14:paraId="0DB3F630" w14:textId="060838C1" w:rsidR="005A6C01" w:rsidRPr="00291E19" w:rsidRDefault="005A6C01" w:rsidP="006E6E11">
      <w:pPr>
        <w:spacing w:after="60"/>
        <w:ind w:left="1985" w:hanging="1985"/>
        <w:rPr>
          <w:rFonts w:ascii="Arial" w:eastAsia="MS Mincho" w:hAnsi="Arial" w:cs="Arial"/>
          <w:bCs/>
          <w:lang w:eastAsia="ja-JP"/>
        </w:rPr>
      </w:pPr>
      <w:r w:rsidRPr="00291E19">
        <w:rPr>
          <w:rFonts w:ascii="Arial" w:hAnsi="Arial" w:cs="Arial"/>
          <w:b/>
        </w:rPr>
        <w:t>Work Item</w:t>
      </w:r>
      <w:r w:rsidR="00D40D3F" w:rsidRPr="00291E19">
        <w:rPr>
          <w:rFonts w:ascii="Arial" w:hAnsi="Arial" w:cs="Arial"/>
          <w:b/>
        </w:rPr>
        <w:t>s</w:t>
      </w:r>
      <w:r w:rsidRPr="00291E19">
        <w:rPr>
          <w:rFonts w:ascii="Arial" w:hAnsi="Arial" w:cs="Arial"/>
          <w:b/>
        </w:rPr>
        <w:t>:</w:t>
      </w:r>
      <w:r w:rsidRPr="00291E19">
        <w:rPr>
          <w:rFonts w:ascii="Arial" w:hAnsi="Arial" w:cs="Arial"/>
          <w:bCs/>
        </w:rPr>
        <w:tab/>
      </w:r>
      <w:r w:rsidR="0043389E" w:rsidRPr="00291E19">
        <w:rPr>
          <w:rFonts w:ascii="Arial" w:hAnsi="Arial" w:cs="Arial"/>
          <w:bCs/>
        </w:rPr>
        <w:t>NR_pos_enh-Core</w:t>
      </w:r>
    </w:p>
    <w:p w14:paraId="4BF857BE" w14:textId="77777777" w:rsidR="005A6C01" w:rsidRPr="00291E19" w:rsidRDefault="005A6C01">
      <w:pPr>
        <w:spacing w:after="60"/>
        <w:ind w:left="1985" w:hanging="1985"/>
        <w:rPr>
          <w:rFonts w:ascii="Arial" w:hAnsi="Arial" w:cs="Arial"/>
          <w:b/>
        </w:rPr>
      </w:pPr>
    </w:p>
    <w:p w14:paraId="114AF8BB" w14:textId="63F11729" w:rsidR="005A6C01" w:rsidRPr="00291E19" w:rsidRDefault="005A6C01" w:rsidP="00B20C0B">
      <w:pPr>
        <w:spacing w:after="60"/>
        <w:ind w:left="1985" w:hanging="1985"/>
        <w:rPr>
          <w:rFonts w:ascii="Arial" w:hAnsi="Arial" w:cs="Arial"/>
          <w:bCs/>
        </w:rPr>
      </w:pPr>
      <w:r w:rsidRPr="00291E19">
        <w:rPr>
          <w:rFonts w:ascii="Arial" w:hAnsi="Arial" w:cs="Arial"/>
          <w:b/>
        </w:rPr>
        <w:t>Source:</w:t>
      </w:r>
      <w:r w:rsidRPr="00291E19">
        <w:rPr>
          <w:rFonts w:ascii="Arial" w:hAnsi="Arial" w:cs="Arial"/>
          <w:bCs/>
        </w:rPr>
        <w:tab/>
      </w:r>
      <w:r w:rsidR="00873EC5">
        <w:rPr>
          <w:rFonts w:ascii="Arial" w:eastAsia="MS Mincho" w:hAnsi="Arial" w:cs="Arial"/>
          <w:bCs/>
          <w:lang w:eastAsia="ja-JP"/>
        </w:rPr>
        <w:t>Huawei, HiSilicon [to be RAN2]</w:t>
      </w:r>
    </w:p>
    <w:p w14:paraId="0434D635" w14:textId="71DD491F" w:rsidR="005A6C01" w:rsidRPr="00291E19" w:rsidRDefault="005A6C01" w:rsidP="004D18C2">
      <w:pPr>
        <w:spacing w:after="60"/>
        <w:ind w:left="1985" w:hanging="1985"/>
        <w:rPr>
          <w:rFonts w:ascii="Arial" w:eastAsia="MS Mincho" w:hAnsi="Arial" w:cs="Arial"/>
          <w:bCs/>
          <w:lang w:eastAsia="ja-JP"/>
        </w:rPr>
      </w:pPr>
      <w:r w:rsidRPr="00291E19">
        <w:rPr>
          <w:rFonts w:ascii="Arial" w:hAnsi="Arial" w:cs="Arial"/>
          <w:b/>
        </w:rPr>
        <w:t>To:</w:t>
      </w:r>
      <w:r w:rsidRPr="00291E19">
        <w:rPr>
          <w:rFonts w:ascii="Arial" w:hAnsi="Arial" w:cs="Arial"/>
          <w:bCs/>
        </w:rPr>
        <w:tab/>
      </w:r>
      <w:r w:rsidR="00154CCF">
        <w:rPr>
          <w:rFonts w:ascii="Arial" w:hAnsi="Arial" w:cs="Arial"/>
          <w:bCs/>
        </w:rPr>
        <w:t>SA WG1, SA WG2</w:t>
      </w:r>
    </w:p>
    <w:p w14:paraId="7A0A7289" w14:textId="163A718B" w:rsidR="009703BE" w:rsidRPr="00291E19" w:rsidRDefault="009703BE" w:rsidP="004D18C2">
      <w:pPr>
        <w:spacing w:after="60"/>
        <w:ind w:left="1985" w:hanging="1985"/>
        <w:rPr>
          <w:rFonts w:ascii="Arial" w:eastAsia="MS Mincho" w:hAnsi="Arial" w:cs="Arial"/>
          <w:b/>
          <w:lang w:eastAsia="ja-JP"/>
        </w:rPr>
      </w:pPr>
      <w:r w:rsidRPr="00291E19">
        <w:rPr>
          <w:rFonts w:ascii="Arial" w:eastAsia="MS Mincho" w:hAnsi="Arial" w:cs="Arial" w:hint="eastAsia"/>
          <w:b/>
          <w:lang w:eastAsia="ja-JP"/>
        </w:rPr>
        <w:t>CC:</w:t>
      </w:r>
      <w:r w:rsidRPr="00291E19">
        <w:rPr>
          <w:rFonts w:ascii="Arial" w:eastAsia="MS Mincho" w:hAnsi="Arial" w:cs="Arial" w:hint="eastAsia"/>
          <w:b/>
          <w:lang w:eastAsia="ja-JP"/>
        </w:rPr>
        <w:tab/>
      </w:r>
    </w:p>
    <w:p w14:paraId="7DD8F650" w14:textId="77777777" w:rsidR="00546D4C" w:rsidRPr="00291E19" w:rsidRDefault="00546D4C" w:rsidP="004D18C2">
      <w:pPr>
        <w:spacing w:after="60"/>
        <w:ind w:left="1985" w:hanging="1985"/>
        <w:rPr>
          <w:rFonts w:ascii="Arial" w:eastAsia="MS Mincho" w:hAnsi="Arial" w:cs="Arial"/>
          <w:bCs/>
          <w:lang w:eastAsia="ja-JP"/>
        </w:rPr>
      </w:pPr>
    </w:p>
    <w:p w14:paraId="076E67B5" w14:textId="77777777" w:rsidR="005A6C01" w:rsidRPr="00291E19" w:rsidRDefault="005A6C01">
      <w:pPr>
        <w:tabs>
          <w:tab w:val="left" w:pos="2268"/>
        </w:tabs>
        <w:rPr>
          <w:rFonts w:ascii="Arial" w:hAnsi="Arial" w:cs="Arial"/>
          <w:bCs/>
        </w:rPr>
      </w:pPr>
      <w:r w:rsidRPr="00291E19">
        <w:rPr>
          <w:rFonts w:ascii="Arial" w:hAnsi="Arial" w:cs="Arial"/>
          <w:b/>
        </w:rPr>
        <w:t>Contact Person:</w:t>
      </w:r>
      <w:r w:rsidRPr="00291E19">
        <w:rPr>
          <w:rFonts w:ascii="Arial" w:hAnsi="Arial" w:cs="Arial"/>
          <w:bCs/>
        </w:rPr>
        <w:tab/>
      </w:r>
    </w:p>
    <w:p w14:paraId="318D3BFC" w14:textId="68CBB934" w:rsidR="005A6C01" w:rsidRPr="00291E19" w:rsidRDefault="005A6C01" w:rsidP="005E0E94">
      <w:pPr>
        <w:pStyle w:val="4"/>
        <w:tabs>
          <w:tab w:val="left" w:pos="2268"/>
        </w:tabs>
        <w:ind w:left="567"/>
        <w:rPr>
          <w:rFonts w:eastAsia="MS Mincho" w:cs="Arial"/>
          <w:b w:val="0"/>
          <w:bCs/>
          <w:lang w:val="it-IT" w:eastAsia="ja-JP"/>
        </w:rPr>
      </w:pPr>
      <w:r w:rsidRPr="00291E19">
        <w:rPr>
          <w:rFonts w:cs="Arial"/>
          <w:lang w:val="it-IT"/>
        </w:rPr>
        <w:t>Name:</w:t>
      </w:r>
      <w:r w:rsidRPr="00291E19">
        <w:rPr>
          <w:rFonts w:cs="Arial"/>
          <w:b w:val="0"/>
          <w:bCs/>
          <w:lang w:val="it-IT"/>
        </w:rPr>
        <w:tab/>
      </w:r>
      <w:r w:rsidR="00A268E6" w:rsidRPr="00291E19">
        <w:rPr>
          <w:rFonts w:eastAsia="MS Mincho" w:cs="Arial"/>
          <w:b w:val="0"/>
          <w:bCs/>
          <w:lang w:val="it-IT" w:eastAsia="ja-JP"/>
        </w:rPr>
        <w:t>Yin</w:t>
      </w:r>
      <w:r w:rsidR="00B84AA9">
        <w:rPr>
          <w:rFonts w:eastAsia="MS Mincho" w:cs="Arial"/>
          <w:b w:val="0"/>
          <w:bCs/>
          <w:lang w:val="it-IT" w:eastAsia="ja-JP"/>
        </w:rPr>
        <w:t>g</w:t>
      </w:r>
      <w:r w:rsidR="00A268E6" w:rsidRPr="00291E19">
        <w:rPr>
          <w:rFonts w:eastAsia="MS Mincho" w:cs="Arial"/>
          <w:b w:val="0"/>
          <w:bCs/>
          <w:lang w:val="it-IT" w:eastAsia="ja-JP"/>
        </w:rPr>
        <w:t>hao Guo</w:t>
      </w:r>
    </w:p>
    <w:p w14:paraId="2D708F7B" w14:textId="3AD71907" w:rsidR="005A6C01" w:rsidRPr="00291E19" w:rsidRDefault="005A6C01" w:rsidP="004C53DD">
      <w:pPr>
        <w:pStyle w:val="7"/>
        <w:tabs>
          <w:tab w:val="left" w:pos="2268"/>
        </w:tabs>
        <w:ind w:left="567"/>
        <w:rPr>
          <w:rFonts w:cs="Arial"/>
          <w:lang w:val="pt-BR"/>
        </w:rPr>
      </w:pPr>
      <w:r w:rsidRPr="00291E19">
        <w:rPr>
          <w:rFonts w:cs="Arial"/>
          <w:color w:val="auto"/>
          <w:lang w:val="pt-BR"/>
        </w:rPr>
        <w:t>E-mail Address:</w:t>
      </w:r>
      <w:r w:rsidRPr="00291E19">
        <w:rPr>
          <w:rFonts w:cs="Arial"/>
          <w:b w:val="0"/>
          <w:bCs/>
          <w:color w:val="auto"/>
          <w:lang w:val="pt-BR"/>
        </w:rPr>
        <w:tab/>
      </w:r>
      <w:r w:rsidR="00A268E6" w:rsidRPr="00291E19">
        <w:t>yinghaoguo@huawei.com</w:t>
      </w:r>
    </w:p>
    <w:p w14:paraId="7A92FE03" w14:textId="05608796" w:rsidR="006F2AF5" w:rsidRPr="00291E19" w:rsidRDefault="006F2AF5" w:rsidP="006F2AF5">
      <w:pPr>
        <w:pBdr>
          <w:bottom w:val="single" w:sz="4" w:space="1" w:color="auto"/>
        </w:pBdr>
        <w:rPr>
          <w:rFonts w:ascii="Arial" w:hAnsi="Arial" w:cs="Arial"/>
          <w:lang w:val="pt-BR"/>
        </w:rPr>
      </w:pPr>
      <w:r w:rsidRPr="00291E19">
        <w:rPr>
          <w:rFonts w:ascii="Arial" w:hAnsi="Arial" w:cs="Arial"/>
          <w:b/>
          <w:lang w:val="pt-BR"/>
        </w:rPr>
        <w:t>Attachment</w:t>
      </w:r>
      <w:r w:rsidRPr="00291E19">
        <w:rPr>
          <w:rFonts w:ascii="Arial" w:hAnsi="Arial" w:cs="Arial" w:hint="eastAsia"/>
          <w:b/>
          <w:lang w:val="pt-BR"/>
        </w:rPr>
        <w:t>:</w:t>
      </w:r>
      <w:r w:rsidRPr="00291E19">
        <w:rPr>
          <w:rFonts w:ascii="Arial" w:hAnsi="Arial" w:cs="Arial"/>
          <w:b/>
          <w:lang w:val="pt-BR"/>
        </w:rPr>
        <w:tab/>
      </w:r>
      <w:r w:rsidR="0079089C" w:rsidRPr="00291E19">
        <w:rPr>
          <w:rFonts w:ascii="Arial" w:hAnsi="Arial" w:cs="Arial"/>
          <w:lang w:val="pt-BR"/>
        </w:rPr>
        <w:t xml:space="preserve"> </w:t>
      </w:r>
    </w:p>
    <w:p w14:paraId="614B9009" w14:textId="77777777" w:rsidR="006F2AF5" w:rsidRPr="00291E19" w:rsidRDefault="006F2AF5">
      <w:pPr>
        <w:pBdr>
          <w:bottom w:val="single" w:sz="4" w:space="1" w:color="auto"/>
        </w:pBdr>
        <w:rPr>
          <w:rFonts w:ascii="Arial" w:hAnsi="Arial" w:cs="Arial"/>
          <w:lang w:val="pt-BR"/>
        </w:rPr>
      </w:pPr>
    </w:p>
    <w:p w14:paraId="523D24AB" w14:textId="77777777" w:rsidR="005A6C01" w:rsidRPr="00291E19" w:rsidRDefault="005A6C01">
      <w:pPr>
        <w:rPr>
          <w:rFonts w:ascii="Arial" w:hAnsi="Arial" w:cs="Arial"/>
          <w:lang w:val="pt-BR"/>
        </w:rPr>
      </w:pPr>
    </w:p>
    <w:p w14:paraId="7A4EE2FB" w14:textId="64B48E26" w:rsidR="00900E45" w:rsidRPr="00B84AA9" w:rsidRDefault="005A6C01" w:rsidP="00764B6F">
      <w:pPr>
        <w:spacing w:after="120"/>
        <w:rPr>
          <w:rFonts w:ascii="Arial" w:hAnsi="Arial" w:cs="Arial"/>
          <w:b/>
        </w:rPr>
      </w:pPr>
      <w:r w:rsidRPr="00B84AA9">
        <w:rPr>
          <w:rFonts w:ascii="Arial" w:hAnsi="Arial" w:cs="Arial"/>
          <w:b/>
        </w:rPr>
        <w:t>1. Overall Description:</w:t>
      </w:r>
    </w:p>
    <w:p w14:paraId="0AD022C8" w14:textId="4087767E" w:rsidR="00843165" w:rsidRDefault="00154CCF" w:rsidP="00154CCF">
      <w:pPr>
        <w:spacing w:after="60"/>
        <w:rPr>
          <w:rFonts w:ascii="Arial" w:eastAsia="等线" w:hAnsi="Arial" w:cs="Arial"/>
          <w:lang w:eastAsia="zh-CN"/>
        </w:rPr>
      </w:pPr>
      <w:r>
        <w:rPr>
          <w:rFonts w:ascii="Arial" w:eastAsia="等线" w:hAnsi="Arial" w:cs="Arial" w:hint="eastAsia"/>
          <w:lang w:eastAsia="zh-CN"/>
        </w:rPr>
        <w:t>I</w:t>
      </w:r>
      <w:r>
        <w:rPr>
          <w:rFonts w:ascii="Arial" w:eastAsia="等线" w:hAnsi="Arial" w:cs="Arial"/>
          <w:lang w:eastAsia="zh-CN"/>
        </w:rPr>
        <w:t>n R17 positioning enhancement, RAN have worked on GNSS integrity</w:t>
      </w:r>
      <w:r w:rsidR="00CE7ADA">
        <w:rPr>
          <w:rFonts w:ascii="Arial" w:eastAsia="等线" w:hAnsi="Arial" w:cs="Arial"/>
          <w:lang w:eastAsia="zh-CN"/>
        </w:rPr>
        <w:t xml:space="preserve"> with the following conclusions</w:t>
      </w:r>
      <w:r w:rsidR="008A2D75">
        <w:rPr>
          <w:rFonts w:ascii="Arial" w:eastAsia="等线" w:hAnsi="Arial" w:cs="Arial"/>
          <w:lang w:eastAsia="zh-CN"/>
        </w:rPr>
        <w:t xml:space="preserve">. </w:t>
      </w:r>
      <w:r w:rsidR="00843165">
        <w:rPr>
          <w:rFonts w:ascii="Arial" w:eastAsia="等线" w:hAnsi="Arial" w:cs="Arial"/>
          <w:lang w:eastAsia="zh-CN"/>
        </w:rPr>
        <w:t xml:space="preserve"> </w:t>
      </w:r>
      <w:r w:rsidR="002B1F8A">
        <w:rPr>
          <w:rFonts w:ascii="Arial" w:eastAsia="等线" w:hAnsi="Arial" w:cs="Arial"/>
          <w:lang w:eastAsia="zh-CN"/>
        </w:rPr>
        <w:t xml:space="preserve">More </w:t>
      </w:r>
      <w:r w:rsidR="00957A72">
        <w:rPr>
          <w:rFonts w:ascii="Arial" w:eastAsia="等线" w:hAnsi="Arial" w:cs="Arial"/>
          <w:lang w:eastAsia="zh-CN"/>
        </w:rPr>
        <w:t>s</w:t>
      </w:r>
      <w:r w:rsidR="00843165">
        <w:rPr>
          <w:rFonts w:ascii="Arial" w:eastAsia="等线" w:hAnsi="Arial" w:cs="Arial"/>
          <w:lang w:eastAsia="zh-CN"/>
        </w:rPr>
        <w:t>pecifically</w:t>
      </w:r>
      <w:r w:rsidR="007B301B">
        <w:rPr>
          <w:rFonts w:ascii="Arial" w:eastAsia="等线" w:hAnsi="Arial" w:cs="Arial"/>
          <w:lang w:eastAsia="zh-CN"/>
        </w:rPr>
        <w:t>:</w:t>
      </w:r>
      <w:r>
        <w:rPr>
          <w:rFonts w:ascii="Arial" w:eastAsia="等线" w:hAnsi="Arial" w:cs="Arial"/>
          <w:lang w:eastAsia="zh-CN"/>
        </w:rPr>
        <w:t xml:space="preserve"> </w:t>
      </w:r>
    </w:p>
    <w:p w14:paraId="69D84A98" w14:textId="641DFBEB" w:rsidR="00843165" w:rsidRPr="00843165" w:rsidRDefault="00154CCF" w:rsidP="00843165">
      <w:pPr>
        <w:pStyle w:val="af4"/>
        <w:numPr>
          <w:ilvl w:val="0"/>
          <w:numId w:val="39"/>
        </w:numPr>
        <w:spacing w:after="60"/>
        <w:ind w:leftChars="0"/>
        <w:rPr>
          <w:rFonts w:ascii="Arial" w:eastAsia="等线" w:hAnsi="Arial" w:cs="Arial"/>
          <w:szCs w:val="20"/>
          <w:lang w:eastAsia="zh-CN"/>
        </w:rPr>
      </w:pPr>
      <w:r w:rsidRPr="00843165">
        <w:rPr>
          <w:rFonts w:ascii="Arial" w:eastAsia="等线" w:hAnsi="Arial" w:cs="Arial"/>
          <w:lang w:eastAsia="zh-CN"/>
        </w:rPr>
        <w:t xml:space="preserve">On </w:t>
      </w:r>
      <w:r w:rsidR="00CF24EF" w:rsidRPr="00843165">
        <w:rPr>
          <w:rFonts w:ascii="Arial" w:eastAsia="等线" w:hAnsi="Arial" w:cs="Arial"/>
          <w:lang w:eastAsia="zh-CN"/>
        </w:rPr>
        <w:t>the</w:t>
      </w:r>
      <w:r w:rsidRPr="00843165">
        <w:rPr>
          <w:rFonts w:ascii="Arial" w:eastAsia="等线" w:hAnsi="Arial" w:cs="Arial"/>
          <w:lang w:eastAsia="zh-CN"/>
        </w:rPr>
        <w:t xml:space="preserve"> use case and their </w:t>
      </w:r>
      <w:r w:rsidR="00D26231" w:rsidRPr="00843165">
        <w:rPr>
          <w:rFonts w:ascii="Arial" w:eastAsia="等线" w:hAnsi="Arial" w:cs="Arial"/>
          <w:lang w:eastAsia="zh-CN"/>
        </w:rPr>
        <w:t>KPI</w:t>
      </w:r>
      <w:r w:rsidR="001A7240" w:rsidRPr="00843165">
        <w:rPr>
          <w:rFonts w:ascii="Arial" w:eastAsia="等线" w:hAnsi="Arial" w:cs="Arial"/>
          <w:lang w:eastAsia="zh-CN"/>
        </w:rPr>
        <w:t>s</w:t>
      </w:r>
      <w:r w:rsidR="00CF24EF" w:rsidRPr="00843165">
        <w:rPr>
          <w:rFonts w:ascii="Arial" w:eastAsia="等线" w:hAnsi="Arial" w:cs="Arial"/>
          <w:lang w:eastAsia="zh-CN"/>
        </w:rPr>
        <w:t xml:space="preserve"> of GNSS integrity</w:t>
      </w:r>
      <w:r w:rsidRPr="00843165">
        <w:rPr>
          <w:rFonts w:ascii="Arial" w:eastAsia="等线" w:hAnsi="Arial" w:cs="Arial"/>
          <w:lang w:eastAsia="zh-CN"/>
        </w:rPr>
        <w:t>,</w:t>
      </w:r>
      <w:r w:rsidR="00CF24EF" w:rsidRPr="00843165">
        <w:rPr>
          <w:rFonts w:ascii="Arial" w:eastAsia="等线" w:hAnsi="Arial" w:cs="Arial"/>
          <w:lang w:eastAsia="zh-CN"/>
        </w:rPr>
        <w:t xml:space="preserve"> it has been captured in Section </w:t>
      </w:r>
      <w:r w:rsidR="00D26231" w:rsidRPr="00843165">
        <w:rPr>
          <w:rFonts w:ascii="Arial" w:eastAsia="等线" w:hAnsi="Arial" w:cs="Arial"/>
          <w:lang w:eastAsia="zh-CN"/>
        </w:rPr>
        <w:t>9.2 of T</w:t>
      </w:r>
      <w:r w:rsidR="00276D2E">
        <w:rPr>
          <w:rFonts w:ascii="Arial" w:eastAsia="等线" w:hAnsi="Arial" w:cs="Arial"/>
          <w:lang w:eastAsia="zh-CN"/>
        </w:rPr>
        <w:t>R</w:t>
      </w:r>
      <w:r w:rsidR="00D26231" w:rsidRPr="00843165">
        <w:rPr>
          <w:rFonts w:ascii="Arial" w:eastAsia="等线" w:hAnsi="Arial" w:cs="Arial"/>
          <w:lang w:eastAsia="zh-CN"/>
        </w:rPr>
        <w:t xml:space="preserve"> </w:t>
      </w:r>
      <w:r w:rsidR="003D2584" w:rsidRPr="00843165">
        <w:rPr>
          <w:rFonts w:ascii="Arial" w:eastAsia="等线" w:hAnsi="Arial" w:cs="Arial"/>
          <w:lang w:eastAsia="zh-CN"/>
        </w:rPr>
        <w:t xml:space="preserve">38.857. </w:t>
      </w:r>
    </w:p>
    <w:p w14:paraId="23BB3D5A" w14:textId="23CAB4DC" w:rsidR="00B30D04" w:rsidRPr="00843165" w:rsidRDefault="003D2584" w:rsidP="00843165">
      <w:pPr>
        <w:pStyle w:val="af4"/>
        <w:numPr>
          <w:ilvl w:val="0"/>
          <w:numId w:val="39"/>
        </w:numPr>
        <w:spacing w:after="60"/>
        <w:ind w:leftChars="0"/>
        <w:rPr>
          <w:rFonts w:ascii="Arial" w:eastAsia="等线" w:hAnsi="Arial" w:cs="Arial"/>
          <w:szCs w:val="20"/>
          <w:lang w:eastAsia="zh-CN"/>
        </w:rPr>
      </w:pPr>
      <w:r w:rsidRPr="00843165">
        <w:rPr>
          <w:rFonts w:ascii="Arial" w:eastAsia="等线" w:hAnsi="Arial" w:cs="Arial"/>
          <w:lang w:eastAsia="zh-CN"/>
        </w:rPr>
        <w:t xml:space="preserve">On the procedural aspects of GNSS integrity, </w:t>
      </w:r>
      <w:r w:rsidR="005C4435" w:rsidRPr="00843165">
        <w:rPr>
          <w:rFonts w:ascii="Arial" w:eastAsia="等线" w:hAnsi="Arial" w:cs="Arial"/>
          <w:lang w:eastAsia="zh-CN"/>
        </w:rPr>
        <w:t>it has been captured in Section 7.3 of TS 38.305.</w:t>
      </w:r>
    </w:p>
    <w:p w14:paraId="336430B7" w14:textId="0E649A8D" w:rsidR="00E83162" w:rsidRDefault="00E83162" w:rsidP="008A36B0">
      <w:pPr>
        <w:widowControl w:val="0"/>
        <w:autoSpaceDE w:val="0"/>
        <w:autoSpaceDN w:val="0"/>
        <w:adjustRightInd w:val="0"/>
        <w:rPr>
          <w:rFonts w:ascii="Arial" w:eastAsia="等线" w:hAnsi="Arial" w:cs="Arial"/>
          <w:lang w:eastAsia="zh-CN"/>
        </w:rPr>
      </w:pPr>
    </w:p>
    <w:p w14:paraId="4489CABF" w14:textId="05545070" w:rsidR="006F1620" w:rsidRDefault="006F1620" w:rsidP="008A36B0">
      <w:pPr>
        <w:widowControl w:val="0"/>
        <w:autoSpaceDE w:val="0"/>
        <w:autoSpaceDN w:val="0"/>
        <w:adjustRightInd w:val="0"/>
        <w:rPr>
          <w:rFonts w:ascii="Arial" w:eastAsia="等线" w:hAnsi="Arial" w:cs="Arial"/>
          <w:lang w:eastAsia="zh-CN"/>
        </w:rPr>
      </w:pPr>
      <w:r>
        <w:rPr>
          <w:rFonts w:ascii="Arial" w:eastAsia="等线" w:hAnsi="Arial" w:cs="Arial" w:hint="eastAsia"/>
          <w:lang w:eastAsia="zh-CN"/>
        </w:rPr>
        <w:t>The</w:t>
      </w:r>
      <w:r>
        <w:rPr>
          <w:rFonts w:ascii="Arial" w:eastAsia="等线" w:hAnsi="Arial" w:cs="Arial"/>
          <w:lang w:eastAsia="zh-CN"/>
        </w:rPr>
        <w:t xml:space="preserve"> relevant part of spec for TR 38.857 and TS 38.305 have been appended below</w:t>
      </w:r>
      <w:bookmarkStart w:id="0" w:name="_GoBack"/>
      <w:bookmarkEnd w:id="0"/>
    </w:p>
    <w:p w14:paraId="5F1B0C83" w14:textId="77777777" w:rsidR="006F1620" w:rsidRPr="008A36B0" w:rsidRDefault="006F1620" w:rsidP="008A36B0">
      <w:pPr>
        <w:widowControl w:val="0"/>
        <w:autoSpaceDE w:val="0"/>
        <w:autoSpaceDN w:val="0"/>
        <w:adjustRightInd w:val="0"/>
        <w:rPr>
          <w:rFonts w:ascii="Arial" w:eastAsia="等线" w:hAnsi="Arial" w:cs="Arial" w:hint="eastAsia"/>
          <w:lang w:eastAsia="zh-CN"/>
        </w:rPr>
      </w:pPr>
    </w:p>
    <w:p w14:paraId="57D61778" w14:textId="4414BA2A" w:rsidR="002A12EA" w:rsidRPr="00B84AA9" w:rsidRDefault="002A12EA" w:rsidP="002A12EA">
      <w:pPr>
        <w:spacing w:beforeLines="50" w:before="120" w:after="120"/>
        <w:rPr>
          <w:rFonts w:ascii="Arial" w:hAnsi="Arial" w:cs="Arial"/>
          <w:b/>
        </w:rPr>
      </w:pPr>
      <w:r w:rsidRPr="00B84AA9">
        <w:rPr>
          <w:rFonts w:ascii="Arial" w:hAnsi="Arial" w:cs="Arial"/>
          <w:b/>
        </w:rPr>
        <w:t>2. Actions:</w:t>
      </w:r>
    </w:p>
    <w:p w14:paraId="4B4F3CA5" w14:textId="26C49C2A" w:rsidR="002A12EA" w:rsidRPr="00B84AA9" w:rsidRDefault="002A12EA" w:rsidP="002A12EA">
      <w:pPr>
        <w:spacing w:after="120"/>
        <w:ind w:left="1985" w:hanging="1985"/>
        <w:rPr>
          <w:rFonts w:ascii="Arial" w:eastAsia="MS Mincho" w:hAnsi="Arial" w:cs="Arial"/>
          <w:b/>
          <w:lang w:eastAsia="ja-JP"/>
        </w:rPr>
      </w:pPr>
      <w:r w:rsidRPr="00B84AA9">
        <w:rPr>
          <w:rFonts w:ascii="Arial" w:hAnsi="Arial" w:cs="Arial"/>
          <w:b/>
        </w:rPr>
        <w:t xml:space="preserve">To </w:t>
      </w:r>
      <w:r w:rsidR="00154CCF">
        <w:rPr>
          <w:rFonts w:ascii="Arial" w:hAnsi="Arial" w:cs="Arial"/>
          <w:b/>
        </w:rPr>
        <w:t>SA</w:t>
      </w:r>
      <w:r w:rsidR="00C37CB4" w:rsidRPr="00B84AA9">
        <w:rPr>
          <w:rFonts w:ascii="Arial" w:hAnsi="Arial" w:cs="Arial"/>
          <w:b/>
        </w:rPr>
        <w:t xml:space="preserve"> WG</w:t>
      </w:r>
      <w:r w:rsidR="004C53DD" w:rsidRPr="00B84AA9">
        <w:rPr>
          <w:rFonts w:ascii="Arial" w:hAnsi="Arial" w:cs="Arial"/>
          <w:b/>
        </w:rPr>
        <w:t>1</w:t>
      </w:r>
      <w:r w:rsidR="00154CCF">
        <w:rPr>
          <w:rFonts w:ascii="Arial" w:hAnsi="Arial" w:cs="Arial"/>
          <w:b/>
        </w:rPr>
        <w:t>, WG2</w:t>
      </w:r>
    </w:p>
    <w:p w14:paraId="7677B1C9" w14:textId="77777777" w:rsidR="00775E8C" w:rsidRPr="00B84AA9" w:rsidRDefault="002A12EA" w:rsidP="00E27832">
      <w:pPr>
        <w:spacing w:afterLines="50" w:after="120"/>
        <w:rPr>
          <w:rFonts w:ascii="Arial" w:eastAsia="Yu Mincho" w:hAnsi="Arial" w:cs="Arial"/>
          <w:b/>
          <w:iCs/>
          <w:lang w:eastAsia="ja-JP"/>
        </w:rPr>
      </w:pPr>
      <w:r w:rsidRPr="00B84AA9">
        <w:rPr>
          <w:rFonts w:ascii="Arial" w:eastAsia="Yu Mincho" w:hAnsi="Arial" w:cs="Arial"/>
          <w:b/>
          <w:iCs/>
          <w:lang w:eastAsia="ja-JP"/>
        </w:rPr>
        <w:t xml:space="preserve">ACTION: </w:t>
      </w:r>
    </w:p>
    <w:p w14:paraId="39D66EEB" w14:textId="224E1799" w:rsidR="00E27832" w:rsidRPr="00B84AA9" w:rsidRDefault="004C53DD" w:rsidP="00775E8C">
      <w:pPr>
        <w:pStyle w:val="af4"/>
        <w:numPr>
          <w:ilvl w:val="0"/>
          <w:numId w:val="25"/>
        </w:numPr>
        <w:spacing w:afterLines="50" w:after="120"/>
        <w:ind w:leftChars="0"/>
        <w:rPr>
          <w:rFonts w:ascii="Arial" w:eastAsia="Yu Mincho" w:hAnsi="Arial" w:cs="Arial"/>
          <w:iCs/>
          <w:szCs w:val="20"/>
          <w:lang w:eastAsia="ja-JP"/>
        </w:rPr>
      </w:pPr>
      <w:r w:rsidRPr="00B84AA9">
        <w:rPr>
          <w:rFonts w:ascii="Arial" w:eastAsia="Yu Mincho" w:hAnsi="Arial" w:cs="Arial"/>
          <w:iCs/>
          <w:szCs w:val="20"/>
          <w:lang w:eastAsia="ja-JP"/>
        </w:rPr>
        <w:t xml:space="preserve">RAN2 respectfully asks </w:t>
      </w:r>
      <w:r w:rsidR="00154CCF">
        <w:rPr>
          <w:rFonts w:ascii="Arial" w:eastAsia="Yu Mincho" w:hAnsi="Arial" w:cs="Arial"/>
          <w:iCs/>
          <w:szCs w:val="20"/>
          <w:lang w:eastAsia="ja-JP"/>
        </w:rPr>
        <w:t>SA WG</w:t>
      </w:r>
      <w:r w:rsidRPr="00B84AA9">
        <w:rPr>
          <w:rFonts w:ascii="Arial" w:eastAsia="Yu Mincho" w:hAnsi="Arial" w:cs="Arial"/>
          <w:iCs/>
          <w:szCs w:val="20"/>
          <w:lang w:eastAsia="ja-JP"/>
        </w:rPr>
        <w:t>1</w:t>
      </w:r>
      <w:r w:rsidR="00154CCF">
        <w:rPr>
          <w:rFonts w:ascii="Arial" w:eastAsia="Yu Mincho" w:hAnsi="Arial" w:cs="Arial"/>
          <w:iCs/>
          <w:szCs w:val="20"/>
          <w:lang w:eastAsia="ja-JP"/>
        </w:rPr>
        <w:t>/WG2</w:t>
      </w:r>
      <w:r w:rsidRPr="00B84AA9">
        <w:rPr>
          <w:rFonts w:ascii="Arial" w:eastAsia="Yu Mincho" w:hAnsi="Arial" w:cs="Arial"/>
          <w:iCs/>
          <w:szCs w:val="20"/>
          <w:lang w:eastAsia="ja-JP"/>
        </w:rPr>
        <w:t xml:space="preserve"> to take the above into account</w:t>
      </w:r>
      <w:r w:rsidR="00E84817">
        <w:rPr>
          <w:rFonts w:ascii="Arial" w:eastAsia="Yu Mincho" w:hAnsi="Arial" w:cs="Arial"/>
          <w:iCs/>
          <w:szCs w:val="20"/>
          <w:lang w:eastAsia="ja-JP"/>
        </w:rPr>
        <w:t xml:space="preserve"> in their future work</w:t>
      </w:r>
      <w:r w:rsidR="00154CCF">
        <w:rPr>
          <w:rFonts w:ascii="Arial" w:eastAsia="Yu Mincho" w:hAnsi="Arial" w:cs="Arial"/>
          <w:iCs/>
          <w:szCs w:val="20"/>
          <w:lang w:eastAsia="ja-JP"/>
        </w:rPr>
        <w:t>.</w:t>
      </w:r>
    </w:p>
    <w:p w14:paraId="5E40A38A" w14:textId="77777777" w:rsidR="002A12EA" w:rsidRPr="00B84AA9" w:rsidRDefault="002A12EA" w:rsidP="00C7234D">
      <w:pPr>
        <w:spacing w:afterLines="50" w:after="120"/>
        <w:rPr>
          <w:rFonts w:ascii="Arial" w:eastAsia="Yu Mincho" w:hAnsi="Arial" w:cs="Arial"/>
          <w:iCs/>
          <w:lang w:eastAsia="ja-JP"/>
        </w:rPr>
      </w:pPr>
    </w:p>
    <w:p w14:paraId="70CEC962" w14:textId="2EC3187B" w:rsidR="00FE33CA" w:rsidRPr="00B84AA9" w:rsidRDefault="002A12EA" w:rsidP="006A5024">
      <w:pPr>
        <w:spacing w:after="120"/>
        <w:rPr>
          <w:rFonts w:ascii="Arial" w:eastAsia="MS Mincho" w:hAnsi="Arial" w:cs="Arial"/>
          <w:b/>
          <w:lang w:eastAsia="ja-JP"/>
        </w:rPr>
      </w:pPr>
      <w:r w:rsidRPr="00B84AA9">
        <w:rPr>
          <w:rFonts w:ascii="Arial" w:eastAsia="MS Mincho" w:hAnsi="Arial" w:cs="Arial"/>
          <w:b/>
          <w:lang w:eastAsia="ja-JP"/>
        </w:rPr>
        <w:t>3</w:t>
      </w:r>
      <w:r w:rsidR="005A6C01" w:rsidRPr="00B84AA9">
        <w:rPr>
          <w:rFonts w:ascii="Arial" w:hAnsi="Arial" w:cs="Arial"/>
          <w:b/>
        </w:rPr>
        <w:t xml:space="preserve">. Date of Next </w:t>
      </w:r>
      <w:r w:rsidR="007272A8" w:rsidRPr="00B84AA9">
        <w:rPr>
          <w:rFonts w:ascii="Arial" w:hAnsi="Arial" w:cs="Arial"/>
          <w:b/>
        </w:rPr>
        <w:t xml:space="preserve">RAN </w:t>
      </w:r>
      <w:r w:rsidR="00AA6657" w:rsidRPr="00B84AA9">
        <w:rPr>
          <w:rFonts w:ascii="Arial" w:hAnsi="Arial" w:cs="Arial"/>
          <w:b/>
        </w:rPr>
        <w:t>WG</w:t>
      </w:r>
      <w:r w:rsidR="004C53DD" w:rsidRPr="00B84AA9">
        <w:rPr>
          <w:rFonts w:ascii="Arial" w:hAnsi="Arial" w:cs="Arial"/>
          <w:b/>
        </w:rPr>
        <w:t>2</w:t>
      </w:r>
      <w:r w:rsidR="00AA6657" w:rsidRPr="00B84AA9">
        <w:rPr>
          <w:rFonts w:ascii="Arial" w:hAnsi="Arial" w:cs="Arial"/>
          <w:b/>
        </w:rPr>
        <w:t xml:space="preserve"> </w:t>
      </w:r>
      <w:r w:rsidR="005A6C01" w:rsidRPr="00B84AA9">
        <w:rPr>
          <w:rFonts w:ascii="Arial" w:hAnsi="Arial" w:cs="Arial"/>
          <w:b/>
        </w:rPr>
        <w:t>Meetings:</w:t>
      </w:r>
    </w:p>
    <w:p w14:paraId="78C90C7E" w14:textId="7CFCCF8A" w:rsidR="00D61938" w:rsidRPr="00B84AA9" w:rsidRDefault="0088767D" w:rsidP="00EE6E88">
      <w:pPr>
        <w:tabs>
          <w:tab w:val="left" w:pos="5103"/>
        </w:tabs>
        <w:spacing w:after="120"/>
        <w:ind w:left="2268" w:hanging="2268"/>
        <w:rPr>
          <w:rFonts w:ascii="Arial" w:hAnsi="Arial" w:cs="Arial"/>
          <w:bCs/>
          <w:lang w:val="sv-SE"/>
        </w:rPr>
      </w:pPr>
      <w:r w:rsidRPr="00B84AA9">
        <w:rPr>
          <w:rFonts w:ascii="Arial" w:hAnsi="Arial" w:cs="Arial"/>
          <w:bCs/>
          <w:lang w:val="sv-SE"/>
        </w:rPr>
        <w:t>RAN2 #119-e</w:t>
      </w:r>
      <w:r w:rsidRPr="00B84AA9">
        <w:rPr>
          <w:rFonts w:ascii="Arial" w:hAnsi="Arial" w:cs="Arial"/>
          <w:bCs/>
          <w:lang w:val="sv-SE"/>
        </w:rPr>
        <w:tab/>
        <w:t>22– 26 August 2022</w:t>
      </w:r>
      <w:r w:rsidRPr="00B84AA9">
        <w:rPr>
          <w:rFonts w:ascii="Arial" w:hAnsi="Arial" w:cs="Arial"/>
          <w:bCs/>
          <w:lang w:val="sv-SE"/>
        </w:rPr>
        <w:tab/>
        <w:t>Electronic Meeting</w:t>
      </w:r>
    </w:p>
    <w:p w14:paraId="09B2D32D" w14:textId="4B7DFAFC" w:rsidR="00327177" w:rsidRDefault="00327177" w:rsidP="00EE6E88">
      <w:pPr>
        <w:tabs>
          <w:tab w:val="left" w:pos="5103"/>
        </w:tabs>
        <w:spacing w:after="120"/>
        <w:ind w:left="2268" w:hanging="2268"/>
        <w:rPr>
          <w:rFonts w:ascii="Arial" w:hAnsi="Arial" w:cs="Arial"/>
          <w:bCs/>
          <w:lang w:val="sv-SE" w:eastAsia="zh-CN"/>
        </w:rPr>
      </w:pPr>
      <w:r w:rsidRPr="00B84AA9">
        <w:rPr>
          <w:rFonts w:ascii="Arial" w:hAnsi="Arial" w:cs="Arial"/>
          <w:bCs/>
          <w:lang w:val="sv-SE" w:eastAsia="zh-CN"/>
        </w:rPr>
        <w:t xml:space="preserve">RAN2 #120                     </w:t>
      </w:r>
      <w:r w:rsidR="007D111E" w:rsidRPr="00B84AA9">
        <w:rPr>
          <w:rFonts w:ascii="Arial" w:hAnsi="Arial" w:cs="Arial"/>
          <w:bCs/>
          <w:lang w:val="sv-SE" w:eastAsia="zh-CN"/>
        </w:rPr>
        <w:t xml:space="preserve"> 14-18</w:t>
      </w:r>
      <w:r w:rsidRPr="00B84AA9">
        <w:rPr>
          <w:rFonts w:ascii="Arial" w:hAnsi="Arial" w:cs="Arial"/>
          <w:bCs/>
          <w:lang w:val="sv-SE" w:eastAsia="zh-CN"/>
        </w:rPr>
        <w:t xml:space="preserve"> November 2022                 </w:t>
      </w:r>
    </w:p>
    <w:p w14:paraId="3B126ABE" w14:textId="4C95C2A8" w:rsidR="0091540E" w:rsidRDefault="0091540E" w:rsidP="00EE6E88">
      <w:pPr>
        <w:tabs>
          <w:tab w:val="left" w:pos="5103"/>
        </w:tabs>
        <w:spacing w:after="120"/>
        <w:ind w:left="2268" w:hanging="2268"/>
        <w:rPr>
          <w:rFonts w:ascii="Arial" w:hAnsi="Arial" w:cs="Arial"/>
          <w:bCs/>
          <w:lang w:val="sv-SE" w:eastAsia="zh-CN"/>
        </w:rPr>
      </w:pPr>
    </w:p>
    <w:p w14:paraId="28597363" w14:textId="0AAC53F7" w:rsidR="0091540E" w:rsidRDefault="0091540E" w:rsidP="00EE6E88">
      <w:pPr>
        <w:tabs>
          <w:tab w:val="left" w:pos="5103"/>
        </w:tabs>
        <w:spacing w:after="120"/>
        <w:ind w:left="2268" w:hanging="2268"/>
        <w:rPr>
          <w:rFonts w:ascii="Arial" w:hAnsi="Arial" w:cs="Arial"/>
          <w:bCs/>
          <w:lang w:val="sv-SE" w:eastAsia="zh-CN"/>
        </w:rPr>
      </w:pPr>
    </w:p>
    <w:p w14:paraId="101DEAA6" w14:textId="66BF9375" w:rsidR="0091540E" w:rsidRDefault="0091540E" w:rsidP="00EE6E88">
      <w:pPr>
        <w:tabs>
          <w:tab w:val="left" w:pos="5103"/>
        </w:tabs>
        <w:spacing w:after="120"/>
        <w:ind w:left="2268" w:hanging="2268"/>
        <w:rPr>
          <w:rFonts w:ascii="Arial" w:hAnsi="Arial" w:cs="Arial"/>
          <w:bCs/>
          <w:lang w:val="sv-SE" w:eastAsia="zh-CN"/>
        </w:rPr>
      </w:pPr>
    </w:p>
    <w:p w14:paraId="5E88CF56" w14:textId="1D3640DE" w:rsidR="0091540E" w:rsidRPr="001B703D" w:rsidRDefault="001B703D" w:rsidP="001B703D">
      <w:pPr>
        <w:pStyle w:val="1"/>
      </w:pPr>
      <w:r w:rsidRPr="001B703D">
        <w:rPr>
          <w:rFonts w:hint="eastAsia"/>
        </w:rPr>
        <w:t>S</w:t>
      </w:r>
      <w:r w:rsidRPr="001B703D">
        <w:t>ection 9.2 of T</w:t>
      </w:r>
      <w:r w:rsidR="00A376E9">
        <w:t>R</w:t>
      </w:r>
      <w:r w:rsidRPr="001B703D">
        <w:t xml:space="preserve"> 38.857</w:t>
      </w:r>
    </w:p>
    <w:p w14:paraId="67A1C162" w14:textId="77777777" w:rsidR="001B703D" w:rsidRPr="001B703D" w:rsidRDefault="001B703D" w:rsidP="001B703D">
      <w:pPr>
        <w:keepNext/>
        <w:keepLines/>
        <w:spacing w:before="180" w:after="180"/>
        <w:ind w:left="1134" w:hanging="1134"/>
        <w:outlineLvl w:val="1"/>
        <w:rPr>
          <w:rFonts w:ascii="Arial" w:hAnsi="Arial"/>
          <w:sz w:val="32"/>
        </w:rPr>
      </w:pPr>
      <w:bookmarkStart w:id="1" w:name="_Toc65687403"/>
      <w:bookmarkStart w:id="2" w:name="_Toc65702271"/>
      <w:r w:rsidRPr="001B703D">
        <w:rPr>
          <w:rFonts w:ascii="Arial" w:hAnsi="Arial"/>
          <w:sz w:val="32"/>
        </w:rPr>
        <w:t>9.2</w:t>
      </w:r>
      <w:r w:rsidRPr="001B703D">
        <w:rPr>
          <w:rFonts w:ascii="Arial" w:hAnsi="Arial"/>
          <w:sz w:val="32"/>
        </w:rPr>
        <w:tab/>
        <w:t>Use cases</w:t>
      </w:r>
      <w:bookmarkEnd w:id="1"/>
      <w:bookmarkEnd w:id="2"/>
    </w:p>
    <w:p w14:paraId="4384B43A" w14:textId="77777777" w:rsidR="001B703D" w:rsidRPr="001B703D" w:rsidRDefault="001B703D" w:rsidP="001B703D">
      <w:pPr>
        <w:spacing w:after="180"/>
      </w:pPr>
      <w:r w:rsidRPr="001B703D">
        <w:t xml:space="preserve">RAT-Independent GNSS positioning integrity monitoring has a long operational history in the field of civil aviation [38][39][40][41][46]. The positioning integrity framework examined in this study extends beyond aviation, to address a broader suite of use case and architectural considerations for the 3GPP system. These concepts are further illustrated by the use case descriptions and KPIs provided below, including a particular focus on safety-critical and liability-critical applications, requiring the capability to validate the estimated position with greater trust. </w:t>
      </w:r>
    </w:p>
    <w:p w14:paraId="5502F6ED" w14:textId="77777777" w:rsidR="001B703D" w:rsidRPr="001B703D" w:rsidRDefault="001B703D" w:rsidP="001B703D">
      <w:pPr>
        <w:keepNext/>
        <w:keepLines/>
        <w:spacing w:before="120" w:after="180"/>
        <w:ind w:left="1134" w:hanging="1134"/>
        <w:outlineLvl w:val="2"/>
        <w:rPr>
          <w:rFonts w:ascii="Arial" w:hAnsi="Arial"/>
          <w:sz w:val="28"/>
        </w:rPr>
      </w:pPr>
      <w:bookmarkStart w:id="3" w:name="_Toc65687404"/>
      <w:bookmarkStart w:id="4" w:name="_Toc65702272"/>
      <w:r w:rsidRPr="001B703D">
        <w:rPr>
          <w:rFonts w:ascii="Arial" w:hAnsi="Arial"/>
          <w:sz w:val="28"/>
        </w:rPr>
        <w:lastRenderedPageBreak/>
        <w:t>9.2.1</w:t>
      </w:r>
      <w:r w:rsidRPr="001B703D">
        <w:rPr>
          <w:rFonts w:ascii="Arial" w:hAnsi="Arial"/>
          <w:sz w:val="28"/>
        </w:rPr>
        <w:tab/>
        <w:t>Automotive</w:t>
      </w:r>
      <w:bookmarkEnd w:id="3"/>
      <w:bookmarkEnd w:id="4"/>
    </w:p>
    <w:p w14:paraId="6DC7C47A" w14:textId="77777777" w:rsidR="001B703D" w:rsidRPr="001B703D" w:rsidRDefault="001B703D" w:rsidP="001B703D">
      <w:pPr>
        <w:keepNext/>
        <w:keepLines/>
        <w:spacing w:before="120" w:after="180"/>
        <w:ind w:left="1418" w:hanging="1418"/>
        <w:outlineLvl w:val="3"/>
        <w:rPr>
          <w:rFonts w:ascii="Arial" w:hAnsi="Arial"/>
          <w:sz w:val="24"/>
        </w:rPr>
      </w:pPr>
      <w:bookmarkStart w:id="5" w:name="_Toc65702273"/>
      <w:r w:rsidRPr="001B703D">
        <w:rPr>
          <w:rFonts w:ascii="Arial" w:hAnsi="Arial"/>
          <w:sz w:val="24"/>
        </w:rPr>
        <w:t>9.2.1.1</w:t>
      </w:r>
      <w:r w:rsidRPr="001B703D">
        <w:rPr>
          <w:rFonts w:ascii="Arial" w:hAnsi="Arial"/>
          <w:sz w:val="24"/>
        </w:rPr>
        <w:tab/>
        <w:t>Road-level identification and road-user charging</w:t>
      </w:r>
      <w:bookmarkEnd w:id="5"/>
    </w:p>
    <w:p w14:paraId="23C9691E" w14:textId="77777777" w:rsidR="001B703D" w:rsidRPr="001B703D" w:rsidRDefault="001B703D" w:rsidP="001B703D">
      <w:pPr>
        <w:spacing w:after="180"/>
      </w:pPr>
      <w:r w:rsidRPr="001B703D">
        <w:t xml:space="preserve">Positioning integrity is a key input to determining whether a road vehicle is traveling on a highway or a neighbouring access road (e.g., a collector-distributor lane). For example, consider a manufacturer wanting to ensure their Advanced Driver-Assistance Systems (ADAS) only activates when the vehicle is on a highway. This requires the UE to determine with a high degree of positioning integrity which road the vehicle is traveling on, in order to avoid the potential for unintended ADAS functionality on the access road (or conversely to ensure the appropriate functionality has been activated on the highway). The road vehicle may also be subject to road-user charging with fees that vary depending which road is used, also requiring positioning integrity validation. </w:t>
      </w:r>
    </w:p>
    <w:p w14:paraId="00D273DA" w14:textId="77777777" w:rsidR="001B703D" w:rsidRPr="001B703D" w:rsidRDefault="001B703D" w:rsidP="001B703D">
      <w:pPr>
        <w:spacing w:after="180"/>
      </w:pPr>
      <w:r w:rsidRPr="001B703D">
        <w:t>Consider an access road that is within 3 metres of a freeway, with a corresponding AL of 3 metres and TIR of 1 x10</w:t>
      </w:r>
      <w:r w:rsidRPr="001B703D">
        <w:rPr>
          <w:vertAlign w:val="superscript"/>
        </w:rPr>
        <w:t>-7</w:t>
      </w:r>
      <w:r w:rsidRPr="001B703D">
        <w:t xml:space="preserve">/hr specified by the vehicle manufacturer. The road vehicle connects to a positioning integrity service provider via the mobile network to request UE-Based positioning integrity assistance data. The assistance data is applied by the UE alongside its local positioning measurements in order to compute the real-time PL. So long as the PL remains below the AL, the positioning system is available and functioning as intended, and the road-level identification can be made safely. If the PL exceeds the AL, the impacted positioning system should be declared unavailable on the vehicle and a road-level determination is not possible. For example, a network-detected fault can be flagged in the positioning integrity assistance data, resulting in a larger PL computed by the UE. </w:t>
      </w:r>
    </w:p>
    <w:p w14:paraId="24B31E68" w14:textId="77777777" w:rsidR="001B703D" w:rsidRPr="001B703D" w:rsidRDefault="001B703D" w:rsidP="001B703D">
      <w:pPr>
        <w:spacing w:after="180"/>
      </w:pPr>
      <w:r w:rsidRPr="001B703D">
        <w:t>Another important positioning integrity aspect to take into account in road-user charging and other applications (like pay how you drive insurances) is that, because of their intrinsic nature, they have to be robust against attempts to deceive the positioning system. In these types of applications, the driver of the vehicle may be motivated to alter the position of its own vehicle in order to avoid being charged. Hence, the positioning integrity of the vehicle position needs to be ensured by being able to detect these deception attempts, for example by employing anti-tamper equipment and by cross-checking different positioning sources.</w:t>
      </w:r>
    </w:p>
    <w:p w14:paraId="06A235B5" w14:textId="77777777" w:rsidR="001B703D" w:rsidRPr="001B703D" w:rsidRDefault="001B703D" w:rsidP="001B703D">
      <w:pPr>
        <w:keepNext/>
        <w:keepLines/>
        <w:spacing w:before="120" w:after="180"/>
        <w:ind w:left="1418" w:hanging="1418"/>
        <w:outlineLvl w:val="3"/>
        <w:rPr>
          <w:rFonts w:ascii="Arial" w:hAnsi="Arial"/>
          <w:sz w:val="24"/>
        </w:rPr>
      </w:pPr>
      <w:bookmarkStart w:id="6" w:name="_Toc65702274"/>
      <w:r w:rsidRPr="001B703D">
        <w:rPr>
          <w:rFonts w:ascii="Arial" w:hAnsi="Arial"/>
          <w:sz w:val="24"/>
        </w:rPr>
        <w:t>9.2.1.2</w:t>
      </w:r>
      <w:r w:rsidRPr="001B703D">
        <w:rPr>
          <w:rFonts w:ascii="Arial" w:hAnsi="Arial"/>
          <w:sz w:val="24"/>
        </w:rPr>
        <w:tab/>
        <w:t>Lane-level identification</w:t>
      </w:r>
      <w:bookmarkEnd w:id="6"/>
    </w:p>
    <w:p w14:paraId="17F30908" w14:textId="77777777" w:rsidR="001B703D" w:rsidRPr="001B703D" w:rsidRDefault="001B703D" w:rsidP="001B703D">
      <w:pPr>
        <w:spacing w:after="180"/>
      </w:pPr>
      <w:r w:rsidRPr="001B703D">
        <w:t>The same concepts and methods from 9.2.1.1 also apply to validating the lane in which the vehicle is traveling. Lane change warnings and manoeuvres are a crucial input to enabling various Levels of autonomy [42] which are illustrated in the 5GAA use case requirements [37], such as an AL of 1.5m and TIR of 1x10</w:t>
      </w:r>
      <w:r w:rsidRPr="001B703D">
        <w:rPr>
          <w:vertAlign w:val="superscript"/>
        </w:rPr>
        <w:t>-7</w:t>
      </w:r>
      <w:r w:rsidRPr="001B703D">
        <w:t xml:space="preserve">/hr or lower. </w:t>
      </w:r>
    </w:p>
    <w:p w14:paraId="61AE3070" w14:textId="77777777" w:rsidR="001B703D" w:rsidRPr="001B703D" w:rsidRDefault="001B703D" w:rsidP="001B703D">
      <w:pPr>
        <w:spacing w:after="180"/>
      </w:pPr>
      <w:r w:rsidRPr="001B703D">
        <w:t>The ability to handle faults almost instantaneously on a road vehicle is absolutely critical in order to recover the situation and avoid a potential collision between lanes. The UE is responsible for monitoring localized events which need to be detected in the shortest time possible, i.e., 'highly dynamic' feared events (e.g., multipath, cycle slips and satellite feared events in the case of GNSS). The network is therefore used to monitor the low dynamic threats, which are less time-critical but still depend on a reliable communication channel with the UE. In the automotive and other 5G positioning use cases, the TTA is also far more stringent (e.g., 100ms in some cases) compared with an aviation TTA of 6 seconds (or slower) for precision approaches. Hence, the low latency of the 3GPP communications presents a strong synergy for supplying positioning integrity assistance data that is secure and assured.</w:t>
      </w:r>
    </w:p>
    <w:p w14:paraId="7285278B" w14:textId="77777777" w:rsidR="001B703D" w:rsidRPr="001B703D" w:rsidRDefault="001B703D" w:rsidP="001B703D">
      <w:pPr>
        <w:spacing w:after="180"/>
      </w:pPr>
      <w:r w:rsidRPr="001B703D">
        <w:t>Once again, the positioning system should remain available unless the PL exceeds the AL, in which case the system should be unavailable and the corresponding ADAS functionality on the vehicle disengaged. To avoid an integrity event, any feared event with an occurrence probability higher than the TIR (i.e., &gt;1x10</w:t>
      </w:r>
      <w:r w:rsidRPr="001B703D">
        <w:rPr>
          <w:vertAlign w:val="superscript"/>
        </w:rPr>
        <w:t>-7</w:t>
      </w:r>
      <w:r w:rsidRPr="001B703D">
        <w:t>/hr) needs to be detected and mitigated within the TTA</w:t>
      </w:r>
      <w:r w:rsidRPr="001B703D">
        <w:rPr>
          <w:vertAlign w:val="superscript"/>
        </w:rPr>
        <w:footnoteReference w:id="1"/>
      </w:r>
      <w:r w:rsidRPr="001B703D">
        <w:t xml:space="preserve">. The UE application is typically responsible for issuing alerts to inform the preventative or remedial actions required by the positioning system. </w:t>
      </w:r>
    </w:p>
    <w:p w14:paraId="794AE266" w14:textId="77777777" w:rsidR="001B703D" w:rsidRPr="001B703D" w:rsidRDefault="001B703D" w:rsidP="001B703D">
      <w:pPr>
        <w:spacing w:after="180"/>
      </w:pPr>
      <w:r w:rsidRPr="001B703D">
        <w:t xml:space="preserve">If a feared event occurs at the network or UE, the positioning system should be capable of determining its effect on the PL relative to the AL, within the required TTA, such that the position reported by the UE remains fault-free (i.e., even if the fault-free position leads to the system being unavailable). The TTA therefore represents the ability of the system to recover before being impacted by a potential integrity event. For some use cases, the TTA may simply be set to zero depending on the implementation requirements. </w:t>
      </w:r>
    </w:p>
    <w:p w14:paraId="48DC5A44" w14:textId="77777777" w:rsidR="001B703D" w:rsidRPr="001B703D" w:rsidRDefault="001B703D" w:rsidP="001B703D">
      <w:pPr>
        <w:keepNext/>
        <w:keepLines/>
        <w:spacing w:before="120" w:after="180"/>
        <w:ind w:left="1134" w:hanging="1134"/>
        <w:outlineLvl w:val="2"/>
        <w:rPr>
          <w:rFonts w:ascii="Arial" w:hAnsi="Arial"/>
          <w:sz w:val="28"/>
        </w:rPr>
      </w:pPr>
      <w:bookmarkStart w:id="7" w:name="_Toc65687405"/>
      <w:bookmarkStart w:id="8" w:name="_Toc65702275"/>
      <w:r w:rsidRPr="001B703D">
        <w:rPr>
          <w:rFonts w:ascii="Arial" w:hAnsi="Arial"/>
          <w:sz w:val="28"/>
        </w:rPr>
        <w:lastRenderedPageBreak/>
        <w:t>9.2.2</w:t>
      </w:r>
      <w:r w:rsidRPr="001B703D">
        <w:rPr>
          <w:rFonts w:ascii="Arial" w:hAnsi="Arial"/>
          <w:sz w:val="28"/>
        </w:rPr>
        <w:tab/>
        <w:t>Rail</w:t>
      </w:r>
      <w:bookmarkEnd w:id="7"/>
      <w:bookmarkEnd w:id="8"/>
    </w:p>
    <w:p w14:paraId="487FBC3E" w14:textId="77777777" w:rsidR="001B703D" w:rsidRPr="001B703D" w:rsidRDefault="001B703D" w:rsidP="001B703D">
      <w:pPr>
        <w:keepNext/>
        <w:keepLines/>
        <w:spacing w:before="120" w:after="180"/>
        <w:ind w:left="1418" w:hanging="1418"/>
        <w:outlineLvl w:val="3"/>
        <w:rPr>
          <w:rFonts w:ascii="Arial" w:hAnsi="Arial"/>
          <w:sz w:val="24"/>
        </w:rPr>
      </w:pPr>
      <w:bookmarkStart w:id="9" w:name="_Toc65702276"/>
      <w:r w:rsidRPr="001B703D">
        <w:rPr>
          <w:rFonts w:ascii="Arial" w:hAnsi="Arial"/>
          <w:sz w:val="24"/>
        </w:rPr>
        <w:t>9.2.2.1</w:t>
      </w:r>
      <w:r w:rsidRPr="001B703D">
        <w:rPr>
          <w:rFonts w:ascii="Arial" w:hAnsi="Arial"/>
          <w:sz w:val="24"/>
        </w:rPr>
        <w:tab/>
        <w:t>Safety-critical applications</w:t>
      </w:r>
      <w:bookmarkEnd w:id="9"/>
    </w:p>
    <w:p w14:paraId="676572AF" w14:textId="77777777" w:rsidR="001B703D" w:rsidRPr="001B703D" w:rsidRDefault="001B703D" w:rsidP="001B703D">
      <w:pPr>
        <w:spacing w:after="180"/>
      </w:pPr>
      <w:r w:rsidRPr="001B703D">
        <w:rPr>
          <w:b/>
        </w:rPr>
        <w:t>Automatic Train Protection</w:t>
      </w:r>
      <w:r w:rsidRPr="001B703D">
        <w:t xml:space="preserve"> (ATP) applications are used to ensure that trains run safely and efficiently on the right tracks with appropriate speed. Automatic Train Protection aims to prevent a train proceeding beyond the point of danger and to prevent the speed of the train exceeding the permissible limit in the event of a driver error. It consists of the safe determination of position, speed and direction of train movement in order to supervise the safe movement of the train up to its stopping point. This application requires the combination of several functions (or lower level applications) which in turn are strongly dependent of the accurate and safe determination of position and speed of the trains. There are many ATP applications where positioning integrity could be employed, among them one can include Enhanced Odometry, Absolute Positioning, Cold Movement Detection, Train integrity and train length monitoring, Track Identification, Odometer Calibration, and Level Crossing Protection.</w:t>
      </w:r>
    </w:p>
    <w:p w14:paraId="39ED8D73" w14:textId="77777777" w:rsidR="001B703D" w:rsidRPr="001B703D" w:rsidRDefault="001B703D" w:rsidP="001B703D">
      <w:pPr>
        <w:spacing w:after="180"/>
      </w:pPr>
      <w:r w:rsidRPr="001B703D">
        <w:rPr>
          <w:b/>
        </w:rPr>
        <w:t>Emergency Management</w:t>
      </w:r>
      <w:r w:rsidRPr="001B703D">
        <w:t xml:space="preserve"> applications, like the trackside personnel protection (to protect personnel working on or close to the track from the trains using the network) and the door control supervision (to enable the opening of specific doors at particular stations), are also safety-critical applications where positioning integrity will improve the performances and reduce risks.</w:t>
      </w:r>
    </w:p>
    <w:p w14:paraId="69584180" w14:textId="77777777" w:rsidR="001B703D" w:rsidRPr="001B703D" w:rsidRDefault="001B703D" w:rsidP="001B703D">
      <w:pPr>
        <w:keepNext/>
        <w:keepLines/>
        <w:spacing w:before="120" w:after="180"/>
        <w:ind w:left="1418" w:hanging="1418"/>
        <w:outlineLvl w:val="3"/>
        <w:rPr>
          <w:rFonts w:ascii="Arial" w:hAnsi="Arial"/>
          <w:sz w:val="24"/>
        </w:rPr>
      </w:pPr>
      <w:bookmarkStart w:id="10" w:name="_Toc65702277"/>
      <w:r w:rsidRPr="001B703D">
        <w:rPr>
          <w:rFonts w:ascii="Arial" w:hAnsi="Arial"/>
          <w:sz w:val="24"/>
        </w:rPr>
        <w:t>9.2.2.2</w:t>
      </w:r>
      <w:r w:rsidRPr="001B703D">
        <w:rPr>
          <w:rFonts w:ascii="Arial" w:hAnsi="Arial"/>
          <w:sz w:val="24"/>
        </w:rPr>
        <w:tab/>
        <w:t>Liability-critical applications</w:t>
      </w:r>
      <w:bookmarkEnd w:id="10"/>
    </w:p>
    <w:p w14:paraId="79D5CBB3" w14:textId="77777777" w:rsidR="001B703D" w:rsidRPr="001B703D" w:rsidRDefault="001B703D" w:rsidP="001B703D">
      <w:pPr>
        <w:spacing w:after="180"/>
      </w:pPr>
      <w:r w:rsidRPr="001B703D">
        <w:rPr>
          <w:b/>
        </w:rPr>
        <w:t>Asset Management</w:t>
      </w:r>
      <w:r w:rsidRPr="001B703D">
        <w:t>. The accuracy and confidence on the position needed for the location of the assets in some cases can be demanding and require high precision and reliable surveying. Fixed asset management applications are linked with the railway environment, from the infrastructure surveying and structural monitoring to the trackside equipment. Rolling stock asset management applications are in charge of the vehicles that move on a railway including both powered and unpowered vehicles, for example locomotives, railroad cars, coaches, and wagons. Rolling stock applications include: fleet management, cargo monitoring, infrastructure charging, energy charging and hazardous cargo monitoring.</w:t>
      </w:r>
    </w:p>
    <w:p w14:paraId="19F48A11" w14:textId="77777777" w:rsidR="001B703D" w:rsidRPr="001B703D" w:rsidRDefault="001B703D" w:rsidP="001B703D">
      <w:pPr>
        <w:spacing w:after="180"/>
      </w:pPr>
      <w:r w:rsidRPr="001B703D">
        <w:rPr>
          <w:b/>
        </w:rPr>
        <w:t>Protection and Emergency Management Systems</w:t>
      </w:r>
      <w:r w:rsidRPr="001B703D">
        <w:t>. This group includes applications such as trackside personnel protection, management of emergencies and train warning systems. Management of emergencies can be greatly improved if an accurate, reliable and continuous location of the train is available, allowing the emergency teams to optimise their operations. Train warning systems are employed when some railways require a special warning to passengers on a platform when a train is approaching and is expected to pass the platform at a speed greater than a defined level. This application requires reliable details of train location, speed and other infrastructure data, and may result in an automatic station announcement via a public service broadcast.</w:t>
      </w:r>
    </w:p>
    <w:p w14:paraId="5561615A" w14:textId="77777777" w:rsidR="001B703D" w:rsidRPr="001B703D" w:rsidRDefault="001B703D" w:rsidP="001B703D">
      <w:pPr>
        <w:spacing w:after="180"/>
      </w:pPr>
      <w:r w:rsidRPr="001B703D">
        <w:rPr>
          <w:b/>
        </w:rPr>
        <w:t>Traffic Management and Information Systems</w:t>
      </w:r>
      <w:r w:rsidRPr="001B703D">
        <w:t>. This group of applications includes traffic management systems (dispatching), but also on-board train monitoring and recording units, hazardous cargo monitoring and infrastructure charging.</w:t>
      </w:r>
    </w:p>
    <w:p w14:paraId="13E095DC" w14:textId="77777777" w:rsidR="001B703D" w:rsidRPr="001B703D" w:rsidRDefault="001B703D" w:rsidP="001B703D">
      <w:pPr>
        <w:keepNext/>
        <w:keepLines/>
        <w:spacing w:before="120" w:after="180"/>
        <w:ind w:left="1134" w:hanging="1134"/>
        <w:outlineLvl w:val="2"/>
        <w:rPr>
          <w:rFonts w:ascii="Arial" w:hAnsi="Arial"/>
          <w:sz w:val="28"/>
        </w:rPr>
      </w:pPr>
      <w:bookmarkStart w:id="11" w:name="_Toc65687406"/>
      <w:bookmarkStart w:id="12" w:name="_Toc65702278"/>
      <w:r w:rsidRPr="001B703D">
        <w:rPr>
          <w:rFonts w:ascii="Arial" w:hAnsi="Arial"/>
          <w:sz w:val="28"/>
        </w:rPr>
        <w:t>9.2.3</w:t>
      </w:r>
      <w:r w:rsidRPr="001B703D">
        <w:rPr>
          <w:rFonts w:ascii="Arial" w:hAnsi="Arial"/>
          <w:sz w:val="28"/>
        </w:rPr>
        <w:tab/>
        <w:t>Industrial IoT</w:t>
      </w:r>
      <w:bookmarkEnd w:id="11"/>
      <w:bookmarkEnd w:id="12"/>
    </w:p>
    <w:p w14:paraId="29E1DC6F" w14:textId="77777777" w:rsidR="001B703D" w:rsidRPr="001B703D" w:rsidRDefault="001B703D" w:rsidP="001B703D">
      <w:pPr>
        <w:spacing w:after="180"/>
      </w:pPr>
      <w:r w:rsidRPr="001B703D">
        <w:t>In contrast to consumer-oriented Internet of Things (IoT), Industrial IoT (IIoT) use cases predominantly focus on operational, safety, and financially beneficial applications of the IoT ecosystem for businesses, infrastructure, and various industries. IIoT positioning integrity/reliability requirements are essential given various safety, payment, and regulatory critical applications. There are many outdoor IIoT devices/UEs employing GNSS-based positioning in various industries that include, but not limited to: Construction, Agriculture/forestry/fishing (smart farming), Oil/Gas industries, and Smart cities (traffic, electric and water systems, waste management, public safety, schools) derived from [30][45]. The ACIA white paper [47] provides some use cases and requirements on 5G positioning in general. An illustrative example relating to Automated Guided Vehicles (AGV) is provided below.</w:t>
      </w:r>
    </w:p>
    <w:p w14:paraId="58D25B0D" w14:textId="77777777" w:rsidR="001B703D" w:rsidRPr="001B703D" w:rsidRDefault="001B703D" w:rsidP="001B703D">
      <w:pPr>
        <w:keepNext/>
        <w:keepLines/>
        <w:spacing w:before="120" w:after="180"/>
        <w:ind w:left="1418" w:hanging="1418"/>
        <w:outlineLvl w:val="3"/>
        <w:rPr>
          <w:rFonts w:ascii="Arial" w:hAnsi="Arial"/>
          <w:sz w:val="24"/>
        </w:rPr>
      </w:pPr>
      <w:bookmarkStart w:id="13" w:name="_Toc65702279"/>
      <w:r w:rsidRPr="001B703D">
        <w:rPr>
          <w:rFonts w:ascii="Arial" w:hAnsi="Arial"/>
          <w:sz w:val="24"/>
        </w:rPr>
        <w:t>9.2.3.1</w:t>
      </w:r>
      <w:r w:rsidRPr="001B703D">
        <w:rPr>
          <w:rFonts w:ascii="Arial" w:hAnsi="Arial"/>
          <w:sz w:val="24"/>
        </w:rPr>
        <w:tab/>
        <w:t>Path and zone identification for AGV</w:t>
      </w:r>
      <w:bookmarkEnd w:id="13"/>
    </w:p>
    <w:p w14:paraId="18FBDB90" w14:textId="77777777" w:rsidR="001B703D" w:rsidRPr="001B703D" w:rsidRDefault="001B703D" w:rsidP="001B703D">
      <w:pPr>
        <w:spacing w:after="180"/>
      </w:pPr>
      <w:r w:rsidRPr="001B703D">
        <w:t xml:space="preserve">Positioning integrity is a key input to determining whether an AGV such as a forklift, in a factory or an open space such as ports or construction buildings, is traveling on the narrow halls within lots of different machinery. Aside from the demanding positioning accuracy, the trust needs to be assigned for the path and the zone of its movements. AGV not running into anything unexpectedly is something that needs to be assured. This requires that the AGV, which is the UE in this use-case, to determine with a high degree of positioning integrity which path it can travel within its defined work task. One can also consider that an industrial scenario can have several different zones in which different levels of positioning integrity can be defined, and hence depending on demand of the works in each zone the positioning methods and positioning integrity KPIs can be defined in respect to those. Once again, the positioning system should remain available unless the PL exceeds the AL, in which case the system should be unavailable and the corresponding AGV functionality on the vehicle is disengaged. The set AL for such use-case depends on how large and how densely equipped the factory is, </w:t>
      </w:r>
      <w:r w:rsidRPr="001B703D">
        <w:lastRenderedPageBreak/>
        <w:t>and hence it is reasonable to assume that it can be set to some value between 0.5m to 3m depending on the controlled area use-case and demands. Further illustration of AGV, which requires support for positioning for tracking, routing and guiding is provided in [47].</w:t>
      </w:r>
    </w:p>
    <w:p w14:paraId="1122F4FD" w14:textId="77777777" w:rsidR="001B703D" w:rsidRPr="001B703D" w:rsidRDefault="001B703D" w:rsidP="001B703D">
      <w:pPr>
        <w:keepNext/>
        <w:keepLines/>
        <w:spacing w:before="120" w:after="180"/>
        <w:ind w:left="1134" w:hanging="1134"/>
        <w:outlineLvl w:val="2"/>
        <w:rPr>
          <w:rFonts w:ascii="Arial" w:hAnsi="Arial"/>
          <w:sz w:val="28"/>
        </w:rPr>
      </w:pPr>
      <w:bookmarkStart w:id="14" w:name="_Toc65687407"/>
      <w:bookmarkStart w:id="15" w:name="_Toc65702280"/>
      <w:r w:rsidRPr="001B703D">
        <w:rPr>
          <w:rFonts w:ascii="Arial" w:hAnsi="Arial"/>
          <w:sz w:val="28"/>
        </w:rPr>
        <w:t>9.2.4</w:t>
      </w:r>
      <w:r w:rsidRPr="001B703D">
        <w:rPr>
          <w:rFonts w:ascii="Arial" w:hAnsi="Arial"/>
          <w:sz w:val="28"/>
        </w:rPr>
        <w:tab/>
        <w:t>Use case summary</w:t>
      </w:r>
      <w:bookmarkEnd w:id="14"/>
      <w:bookmarkEnd w:id="15"/>
    </w:p>
    <w:p w14:paraId="051D40F1" w14:textId="77777777" w:rsidR="001B703D" w:rsidRPr="001B703D" w:rsidRDefault="001B703D" w:rsidP="001B703D">
      <w:pPr>
        <w:spacing w:after="180"/>
      </w:pPr>
      <w:r w:rsidRPr="001B703D">
        <w:t xml:space="preserve">Table 9.2.4 is adapted from [35][36] and supplemented by [34][37]. It summarises the typical KPI ranges to be expected on implementation for the Automotive and Rail categories. Importantly, the KPIs are illustrative only; KPIs are typically specified by the positioning system provider on implementation (e.g., a vehicle OEM), taking into consideration the 3GPP and non-3GPP components of the system. </w:t>
      </w:r>
    </w:p>
    <w:p w14:paraId="4E510569" w14:textId="77777777" w:rsidR="001B703D" w:rsidRPr="001B703D" w:rsidRDefault="001B703D" w:rsidP="001B703D">
      <w:pPr>
        <w:keepNext/>
        <w:keepLines/>
        <w:spacing w:before="60" w:after="180"/>
        <w:jc w:val="center"/>
        <w:rPr>
          <w:rFonts w:ascii="Arial" w:hAnsi="Arial"/>
          <w:b/>
        </w:rPr>
      </w:pPr>
      <w:r w:rsidRPr="001B703D">
        <w:rPr>
          <w:rFonts w:ascii="Arial" w:hAnsi="Arial"/>
          <w:b/>
        </w:rPr>
        <w:t>Table 9.2.4: KPI examples for the Automotive, Rail and IIoT use cases [34][35][36][37].</w:t>
      </w:r>
    </w:p>
    <w:p w14:paraId="15497F43" w14:textId="77777777" w:rsidR="001B703D" w:rsidRPr="001B703D" w:rsidRDefault="001B703D" w:rsidP="001B703D">
      <w:pPr>
        <w:keepNext/>
        <w:keepLines/>
        <w:spacing w:before="60" w:after="180"/>
        <w:jc w:val="center"/>
        <w:rPr>
          <w:rFonts w:ascii="Arial" w:hAnsi="Arial"/>
          <w:b/>
        </w:rPr>
      </w:pPr>
      <w:r w:rsidRPr="001B703D">
        <w:rPr>
          <w:rFonts w:ascii="Arial" w:hAnsi="Arial"/>
          <w:b/>
        </w:rPr>
        <w:t>NOTE: KPIs are defined by the service provider implementation.</w:t>
      </w:r>
    </w:p>
    <w:tbl>
      <w:tblPr>
        <w:tblW w:w="949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1826"/>
        <w:gridCol w:w="1737"/>
        <w:gridCol w:w="1271"/>
        <w:gridCol w:w="1403"/>
      </w:tblGrid>
      <w:tr w:rsidR="001B703D" w:rsidRPr="001B703D" w14:paraId="10A07950" w14:textId="77777777" w:rsidTr="001B703D">
        <w:trPr>
          <w:trHeight w:val="283"/>
        </w:trPr>
        <w:tc>
          <w:tcPr>
            <w:tcW w:w="9493" w:type="dxa"/>
            <w:gridSpan w:val="5"/>
            <w:shd w:val="clear" w:color="auto" w:fill="D9D9D9"/>
            <w:vAlign w:val="center"/>
          </w:tcPr>
          <w:p w14:paraId="3FA3F951" w14:textId="77777777" w:rsidR="001B703D" w:rsidRPr="001B703D" w:rsidRDefault="001B703D" w:rsidP="001B703D">
            <w:pPr>
              <w:jc w:val="center"/>
              <w:rPr>
                <w:rFonts w:ascii="Arial" w:hAnsi="Arial" w:cs="Arial"/>
                <w:b/>
                <w:bCs/>
                <w:sz w:val="18"/>
                <w:szCs w:val="18"/>
              </w:rPr>
            </w:pPr>
            <w:r w:rsidRPr="001B703D">
              <w:rPr>
                <w:rFonts w:ascii="Arial" w:hAnsi="Arial" w:cs="Arial"/>
                <w:b/>
                <w:bCs/>
                <w:sz w:val="18"/>
                <w:szCs w:val="18"/>
              </w:rPr>
              <w:t>AUTOMOTIVE EXAMPLES</w:t>
            </w:r>
          </w:p>
        </w:tc>
      </w:tr>
      <w:tr w:rsidR="001B703D" w:rsidRPr="001B703D" w14:paraId="6A944FAE" w14:textId="77777777" w:rsidTr="001B703D">
        <w:trPr>
          <w:trHeight w:val="283"/>
        </w:trPr>
        <w:tc>
          <w:tcPr>
            <w:tcW w:w="3256" w:type="dxa"/>
            <w:shd w:val="clear" w:color="auto" w:fill="D9D9D9"/>
            <w:vAlign w:val="center"/>
          </w:tcPr>
          <w:p w14:paraId="775AA037" w14:textId="77777777" w:rsidR="001B703D" w:rsidRPr="001B703D" w:rsidRDefault="001B703D" w:rsidP="001B703D">
            <w:pPr>
              <w:jc w:val="center"/>
              <w:rPr>
                <w:rFonts w:ascii="Arial" w:hAnsi="Arial" w:cs="Arial"/>
                <w:b/>
                <w:bCs/>
                <w:sz w:val="18"/>
                <w:szCs w:val="18"/>
              </w:rPr>
            </w:pPr>
            <w:r w:rsidRPr="001B703D">
              <w:rPr>
                <w:rFonts w:ascii="Arial" w:hAnsi="Arial" w:cs="Arial"/>
                <w:b/>
                <w:bCs/>
                <w:sz w:val="18"/>
                <w:szCs w:val="18"/>
              </w:rPr>
              <w:t>APPLICATION CATEGORIES</w:t>
            </w:r>
          </w:p>
        </w:tc>
        <w:tc>
          <w:tcPr>
            <w:tcW w:w="1826" w:type="dxa"/>
            <w:shd w:val="clear" w:color="auto" w:fill="D9D9D9"/>
            <w:vAlign w:val="center"/>
          </w:tcPr>
          <w:p w14:paraId="6AC159FC" w14:textId="77777777" w:rsidR="001B703D" w:rsidRPr="001B703D" w:rsidRDefault="001B703D" w:rsidP="001B703D">
            <w:pPr>
              <w:jc w:val="center"/>
              <w:rPr>
                <w:rFonts w:ascii="Arial" w:hAnsi="Arial" w:cs="Arial"/>
                <w:b/>
                <w:bCs/>
                <w:sz w:val="18"/>
                <w:szCs w:val="18"/>
              </w:rPr>
            </w:pPr>
            <w:r w:rsidRPr="001B703D">
              <w:rPr>
                <w:rFonts w:ascii="Arial" w:hAnsi="Arial" w:cs="Arial"/>
                <w:b/>
                <w:bCs/>
                <w:sz w:val="18"/>
                <w:szCs w:val="18"/>
              </w:rPr>
              <w:t>TIR</w:t>
            </w:r>
          </w:p>
        </w:tc>
        <w:tc>
          <w:tcPr>
            <w:tcW w:w="1737" w:type="dxa"/>
            <w:shd w:val="clear" w:color="auto" w:fill="D9D9D9"/>
            <w:vAlign w:val="center"/>
          </w:tcPr>
          <w:p w14:paraId="16A60A11" w14:textId="77777777" w:rsidR="001B703D" w:rsidRPr="001B703D" w:rsidRDefault="001B703D" w:rsidP="001B703D">
            <w:pPr>
              <w:jc w:val="center"/>
              <w:rPr>
                <w:rFonts w:ascii="Arial" w:hAnsi="Arial" w:cs="Arial"/>
                <w:b/>
                <w:bCs/>
                <w:sz w:val="18"/>
                <w:szCs w:val="18"/>
              </w:rPr>
            </w:pPr>
            <w:r w:rsidRPr="001B703D">
              <w:rPr>
                <w:rFonts w:ascii="Arial" w:hAnsi="Arial" w:cs="Arial"/>
                <w:b/>
                <w:bCs/>
                <w:sz w:val="18"/>
                <w:szCs w:val="18"/>
              </w:rPr>
              <w:t>AL</w:t>
            </w:r>
          </w:p>
        </w:tc>
        <w:tc>
          <w:tcPr>
            <w:tcW w:w="1271" w:type="dxa"/>
            <w:shd w:val="clear" w:color="auto" w:fill="D9D9D9"/>
            <w:vAlign w:val="center"/>
          </w:tcPr>
          <w:p w14:paraId="7ADCE8C4" w14:textId="77777777" w:rsidR="001B703D" w:rsidRPr="001B703D" w:rsidRDefault="001B703D" w:rsidP="001B703D">
            <w:pPr>
              <w:jc w:val="center"/>
              <w:rPr>
                <w:rFonts w:ascii="Arial" w:hAnsi="Arial" w:cs="Arial"/>
                <w:b/>
                <w:bCs/>
                <w:sz w:val="18"/>
                <w:szCs w:val="18"/>
              </w:rPr>
            </w:pPr>
            <w:r w:rsidRPr="001B703D">
              <w:rPr>
                <w:rFonts w:ascii="Arial" w:hAnsi="Arial" w:cs="Arial"/>
                <w:b/>
                <w:bCs/>
                <w:sz w:val="18"/>
                <w:szCs w:val="18"/>
              </w:rPr>
              <w:t>TTA</w:t>
            </w:r>
          </w:p>
        </w:tc>
        <w:tc>
          <w:tcPr>
            <w:tcW w:w="1403" w:type="dxa"/>
            <w:shd w:val="clear" w:color="auto" w:fill="D9D9D9"/>
            <w:vAlign w:val="center"/>
          </w:tcPr>
          <w:p w14:paraId="07DAA90F" w14:textId="77777777" w:rsidR="001B703D" w:rsidRPr="001B703D" w:rsidRDefault="001B703D" w:rsidP="001B703D">
            <w:pPr>
              <w:jc w:val="center"/>
              <w:rPr>
                <w:rFonts w:ascii="Arial" w:hAnsi="Arial" w:cs="Arial"/>
                <w:b/>
                <w:bCs/>
                <w:sz w:val="18"/>
                <w:szCs w:val="18"/>
              </w:rPr>
            </w:pPr>
            <w:r w:rsidRPr="001B703D">
              <w:rPr>
                <w:rFonts w:ascii="Arial" w:hAnsi="Arial" w:cs="Arial"/>
                <w:b/>
                <w:bCs/>
                <w:sz w:val="18"/>
                <w:szCs w:val="18"/>
              </w:rPr>
              <w:t>Integrity Availability</w:t>
            </w:r>
          </w:p>
        </w:tc>
      </w:tr>
      <w:tr w:rsidR="001B703D" w:rsidRPr="001B703D" w14:paraId="56C343A1" w14:textId="77777777" w:rsidTr="00C10939">
        <w:tc>
          <w:tcPr>
            <w:tcW w:w="3256" w:type="dxa"/>
          </w:tcPr>
          <w:p w14:paraId="56C1BEFF" w14:textId="77777777" w:rsidR="001B703D" w:rsidRPr="001B703D" w:rsidRDefault="001B703D" w:rsidP="001B703D">
            <w:pPr>
              <w:rPr>
                <w:rFonts w:ascii="Arial" w:hAnsi="Arial" w:cs="Arial"/>
                <w:b/>
                <w:bCs/>
                <w:sz w:val="18"/>
                <w:szCs w:val="18"/>
              </w:rPr>
            </w:pPr>
            <w:r w:rsidRPr="001B703D">
              <w:rPr>
                <w:rFonts w:ascii="Arial" w:hAnsi="Arial" w:cs="Arial"/>
                <w:b/>
                <w:bCs/>
                <w:sz w:val="18"/>
                <w:szCs w:val="18"/>
              </w:rPr>
              <w:t>Safety-Critical Applications</w:t>
            </w:r>
          </w:p>
          <w:p w14:paraId="61C90EFB" w14:textId="77777777" w:rsidR="001B703D" w:rsidRPr="001B703D" w:rsidRDefault="001B703D" w:rsidP="001B703D">
            <w:pPr>
              <w:ind w:left="568" w:hanging="284"/>
              <w:rPr>
                <w:rFonts w:ascii="Arial" w:hAnsi="Arial" w:cs="Arial"/>
                <w:sz w:val="18"/>
                <w:szCs w:val="18"/>
              </w:rPr>
            </w:pPr>
            <w:r w:rsidRPr="001B703D">
              <w:rPr>
                <w:rFonts w:ascii="Arial" w:hAnsi="Arial" w:cs="Arial"/>
                <w:sz w:val="18"/>
                <w:szCs w:val="18"/>
              </w:rPr>
              <w:t>-</w:t>
            </w:r>
            <w:r w:rsidRPr="001B703D">
              <w:rPr>
                <w:rFonts w:ascii="Arial" w:hAnsi="Arial" w:cs="Arial"/>
                <w:sz w:val="18"/>
                <w:szCs w:val="18"/>
              </w:rPr>
              <w:tab/>
              <w:t>Warnings (red light, obstacle, queue, curve speed, blind spot lane change, pedestrians etc)</w:t>
            </w:r>
          </w:p>
          <w:p w14:paraId="7950A4EC" w14:textId="77777777" w:rsidR="001B703D" w:rsidRPr="001B703D" w:rsidRDefault="001B703D" w:rsidP="001B703D">
            <w:pPr>
              <w:ind w:left="568" w:hanging="284"/>
              <w:rPr>
                <w:rFonts w:ascii="Arial" w:hAnsi="Arial" w:cs="Arial"/>
                <w:sz w:val="18"/>
                <w:szCs w:val="18"/>
              </w:rPr>
            </w:pPr>
            <w:r w:rsidRPr="001B703D">
              <w:rPr>
                <w:rFonts w:ascii="Arial" w:hAnsi="Arial" w:cs="Arial"/>
                <w:sz w:val="18"/>
                <w:szCs w:val="18"/>
              </w:rPr>
              <w:t>-</w:t>
            </w:r>
            <w:r w:rsidRPr="001B703D">
              <w:rPr>
                <w:rFonts w:ascii="Arial" w:hAnsi="Arial" w:cs="Arial"/>
                <w:sz w:val="18"/>
                <w:szCs w:val="18"/>
              </w:rPr>
              <w:tab/>
              <w:t>Automated Driving (lane-level or better)</w:t>
            </w:r>
          </w:p>
          <w:p w14:paraId="25D3E799" w14:textId="77777777" w:rsidR="001B703D" w:rsidRPr="001B703D" w:rsidRDefault="001B703D" w:rsidP="001B703D">
            <w:pPr>
              <w:ind w:left="568" w:hanging="284"/>
              <w:rPr>
                <w:rFonts w:ascii="Arial" w:hAnsi="Arial" w:cs="Arial"/>
                <w:sz w:val="18"/>
                <w:szCs w:val="18"/>
              </w:rPr>
            </w:pPr>
            <w:r w:rsidRPr="001B703D">
              <w:rPr>
                <w:rFonts w:ascii="Arial" w:hAnsi="Arial" w:cs="Arial"/>
                <w:sz w:val="18"/>
                <w:szCs w:val="18"/>
              </w:rPr>
              <w:t>-</w:t>
            </w:r>
            <w:r w:rsidRPr="001B703D">
              <w:rPr>
                <w:rFonts w:ascii="Arial" w:hAnsi="Arial" w:cs="Arial"/>
                <w:sz w:val="18"/>
                <w:szCs w:val="18"/>
              </w:rPr>
              <w:tab/>
              <w:t>Emergency Brake Assist</w:t>
            </w:r>
          </w:p>
          <w:p w14:paraId="4D68A7C8" w14:textId="77777777" w:rsidR="001B703D" w:rsidRPr="001B703D" w:rsidRDefault="001B703D" w:rsidP="001B703D">
            <w:pPr>
              <w:ind w:left="568" w:hanging="284"/>
              <w:rPr>
                <w:rFonts w:ascii="Arial" w:hAnsi="Arial" w:cs="Arial"/>
                <w:sz w:val="18"/>
                <w:szCs w:val="18"/>
              </w:rPr>
            </w:pPr>
            <w:r w:rsidRPr="001B703D">
              <w:rPr>
                <w:rFonts w:ascii="Arial" w:hAnsi="Arial" w:cs="Arial"/>
                <w:sz w:val="18"/>
                <w:szCs w:val="18"/>
              </w:rPr>
              <w:t>-</w:t>
            </w:r>
            <w:r w:rsidRPr="001B703D">
              <w:rPr>
                <w:rFonts w:ascii="Arial" w:hAnsi="Arial" w:cs="Arial"/>
                <w:sz w:val="18"/>
                <w:szCs w:val="18"/>
              </w:rPr>
              <w:tab/>
              <w:t>Forward Collision Avoidance</w:t>
            </w:r>
          </w:p>
        </w:tc>
        <w:tc>
          <w:tcPr>
            <w:tcW w:w="1826" w:type="dxa"/>
            <w:vAlign w:val="center"/>
          </w:tcPr>
          <w:p w14:paraId="42F97D45" w14:textId="77777777" w:rsidR="001B703D" w:rsidRPr="001B703D" w:rsidRDefault="001B703D" w:rsidP="001B703D">
            <w:pPr>
              <w:jc w:val="center"/>
              <w:rPr>
                <w:rFonts w:ascii="Arial" w:hAnsi="Arial" w:cs="Arial"/>
                <w:sz w:val="18"/>
                <w:szCs w:val="18"/>
              </w:rPr>
            </w:pPr>
            <w:r w:rsidRPr="001B703D">
              <w:rPr>
                <w:rFonts w:ascii="Arial" w:hAnsi="Arial" w:cs="Arial"/>
                <w:sz w:val="18"/>
                <w:szCs w:val="18"/>
              </w:rPr>
              <w:t xml:space="preserve">Typical range: </w:t>
            </w:r>
          </w:p>
          <w:p w14:paraId="7847A332" w14:textId="77777777" w:rsidR="001B703D" w:rsidRPr="001B703D" w:rsidRDefault="001B703D" w:rsidP="001B703D">
            <w:pPr>
              <w:jc w:val="center"/>
              <w:rPr>
                <w:rFonts w:ascii="Arial" w:hAnsi="Arial" w:cs="Arial"/>
                <w:sz w:val="18"/>
                <w:szCs w:val="18"/>
              </w:rPr>
            </w:pPr>
            <w:r w:rsidRPr="001B703D">
              <w:rPr>
                <w:rFonts w:ascii="Arial" w:hAnsi="Arial" w:cs="Arial"/>
                <w:sz w:val="18"/>
                <w:szCs w:val="18"/>
              </w:rPr>
              <w:t>≥10</w:t>
            </w:r>
            <w:r w:rsidRPr="001B703D">
              <w:rPr>
                <w:rFonts w:ascii="Arial" w:hAnsi="Arial" w:cs="Arial"/>
                <w:sz w:val="18"/>
                <w:szCs w:val="18"/>
                <w:vertAlign w:val="superscript"/>
              </w:rPr>
              <w:t>-8</w:t>
            </w:r>
            <w:r w:rsidRPr="001B703D">
              <w:rPr>
                <w:rFonts w:ascii="Arial" w:hAnsi="Arial" w:cs="Arial"/>
                <w:sz w:val="18"/>
                <w:szCs w:val="18"/>
              </w:rPr>
              <w:t>/hr to ≤10</w:t>
            </w:r>
            <w:r w:rsidRPr="001B703D">
              <w:rPr>
                <w:rFonts w:ascii="Arial" w:hAnsi="Arial" w:cs="Arial"/>
                <w:sz w:val="18"/>
                <w:szCs w:val="18"/>
                <w:vertAlign w:val="superscript"/>
              </w:rPr>
              <w:t>-6</w:t>
            </w:r>
            <w:r w:rsidRPr="001B703D">
              <w:rPr>
                <w:rFonts w:ascii="Arial" w:hAnsi="Arial" w:cs="Arial"/>
                <w:sz w:val="18"/>
                <w:szCs w:val="18"/>
              </w:rPr>
              <w:t>/hr</w:t>
            </w:r>
          </w:p>
        </w:tc>
        <w:tc>
          <w:tcPr>
            <w:tcW w:w="1737" w:type="dxa"/>
            <w:vAlign w:val="center"/>
          </w:tcPr>
          <w:p w14:paraId="6F4C9AEA" w14:textId="77777777" w:rsidR="001B703D" w:rsidRPr="001B703D" w:rsidRDefault="001B703D" w:rsidP="001B703D">
            <w:pPr>
              <w:jc w:val="center"/>
              <w:rPr>
                <w:rFonts w:ascii="Arial" w:hAnsi="Arial" w:cs="Arial"/>
                <w:sz w:val="18"/>
                <w:szCs w:val="18"/>
              </w:rPr>
            </w:pPr>
            <w:r w:rsidRPr="001B703D">
              <w:rPr>
                <w:rFonts w:ascii="Arial" w:hAnsi="Arial" w:cs="Arial"/>
                <w:sz w:val="18"/>
                <w:szCs w:val="18"/>
              </w:rPr>
              <w:t>Typical range: ≥1.5m to &lt;5m</w:t>
            </w:r>
          </w:p>
        </w:tc>
        <w:tc>
          <w:tcPr>
            <w:tcW w:w="1271" w:type="dxa"/>
            <w:vMerge w:val="restart"/>
            <w:vAlign w:val="center"/>
          </w:tcPr>
          <w:p w14:paraId="68DFF69F" w14:textId="77777777" w:rsidR="001B703D" w:rsidRPr="001B703D" w:rsidRDefault="001B703D" w:rsidP="001B703D">
            <w:pPr>
              <w:jc w:val="center"/>
              <w:rPr>
                <w:rFonts w:ascii="Arial" w:hAnsi="Arial" w:cs="Arial"/>
                <w:sz w:val="18"/>
                <w:szCs w:val="18"/>
              </w:rPr>
            </w:pPr>
            <w:r w:rsidRPr="001B703D">
              <w:rPr>
                <w:rFonts w:ascii="Arial" w:hAnsi="Arial" w:cs="Arial"/>
                <w:sz w:val="18"/>
                <w:szCs w:val="18"/>
              </w:rPr>
              <w:t>Typically ranges from 100s of milliseconds to &lt;10 seconds</w:t>
            </w:r>
          </w:p>
        </w:tc>
        <w:tc>
          <w:tcPr>
            <w:tcW w:w="1403" w:type="dxa"/>
            <w:vAlign w:val="center"/>
          </w:tcPr>
          <w:p w14:paraId="73051617" w14:textId="77777777" w:rsidR="001B703D" w:rsidRPr="001B703D" w:rsidRDefault="001B703D" w:rsidP="001B703D">
            <w:pPr>
              <w:jc w:val="center"/>
              <w:rPr>
                <w:rFonts w:ascii="Arial" w:hAnsi="Arial" w:cs="Arial"/>
                <w:sz w:val="18"/>
                <w:szCs w:val="18"/>
              </w:rPr>
            </w:pPr>
          </w:p>
          <w:p w14:paraId="252D5283" w14:textId="77777777" w:rsidR="001B703D" w:rsidRPr="001B703D" w:rsidRDefault="001B703D" w:rsidP="001B703D">
            <w:pPr>
              <w:jc w:val="center"/>
              <w:rPr>
                <w:rFonts w:ascii="Arial" w:hAnsi="Arial" w:cs="Arial"/>
                <w:sz w:val="18"/>
                <w:szCs w:val="18"/>
              </w:rPr>
            </w:pPr>
            <w:r w:rsidRPr="001B703D">
              <w:rPr>
                <w:rFonts w:ascii="Arial" w:hAnsi="Arial" w:cs="Arial"/>
                <w:sz w:val="18"/>
                <w:szCs w:val="18"/>
              </w:rPr>
              <w:t>Typically ranges from 95% to 99.9% or greater</w:t>
            </w:r>
          </w:p>
        </w:tc>
      </w:tr>
      <w:tr w:rsidR="001B703D" w:rsidRPr="001B703D" w14:paraId="6452FB66" w14:textId="77777777" w:rsidTr="00C10939">
        <w:tc>
          <w:tcPr>
            <w:tcW w:w="3256" w:type="dxa"/>
            <w:vAlign w:val="center"/>
          </w:tcPr>
          <w:p w14:paraId="1C0661BD" w14:textId="77777777" w:rsidR="001B703D" w:rsidRPr="001B703D" w:rsidRDefault="001B703D" w:rsidP="001B703D">
            <w:pPr>
              <w:rPr>
                <w:rFonts w:ascii="Arial" w:hAnsi="Arial" w:cs="Arial"/>
                <w:b/>
                <w:bCs/>
                <w:sz w:val="18"/>
                <w:szCs w:val="18"/>
              </w:rPr>
            </w:pPr>
            <w:r w:rsidRPr="001B703D">
              <w:rPr>
                <w:rFonts w:ascii="Arial" w:hAnsi="Arial" w:cs="Arial"/>
                <w:b/>
                <w:bCs/>
                <w:sz w:val="18"/>
                <w:szCs w:val="18"/>
              </w:rPr>
              <w:t>Payment Critical Applications</w:t>
            </w:r>
          </w:p>
          <w:p w14:paraId="3BE058DE" w14:textId="77777777" w:rsidR="001B703D" w:rsidRPr="001B703D" w:rsidRDefault="001B703D" w:rsidP="001B703D">
            <w:pPr>
              <w:ind w:left="568" w:hanging="284"/>
              <w:rPr>
                <w:rFonts w:ascii="Arial" w:hAnsi="Arial" w:cs="Arial"/>
                <w:sz w:val="18"/>
                <w:szCs w:val="18"/>
              </w:rPr>
            </w:pPr>
            <w:r w:rsidRPr="001B703D">
              <w:rPr>
                <w:rFonts w:ascii="Arial" w:hAnsi="Arial" w:cs="Arial"/>
                <w:sz w:val="18"/>
                <w:szCs w:val="18"/>
              </w:rPr>
              <w:t>-</w:t>
            </w:r>
            <w:r w:rsidRPr="001B703D">
              <w:rPr>
                <w:rFonts w:ascii="Arial" w:hAnsi="Arial" w:cs="Arial"/>
                <w:sz w:val="18"/>
                <w:szCs w:val="18"/>
              </w:rPr>
              <w:tab/>
              <w:t>Road User Charging (RUC)</w:t>
            </w:r>
          </w:p>
          <w:p w14:paraId="28BE01E2" w14:textId="77777777" w:rsidR="001B703D" w:rsidRPr="001B703D" w:rsidRDefault="001B703D" w:rsidP="001B703D">
            <w:pPr>
              <w:ind w:left="568" w:hanging="284"/>
              <w:rPr>
                <w:rFonts w:ascii="Arial" w:hAnsi="Arial" w:cs="Arial"/>
                <w:b/>
                <w:bCs/>
                <w:sz w:val="18"/>
                <w:szCs w:val="18"/>
              </w:rPr>
            </w:pPr>
            <w:r w:rsidRPr="001B703D">
              <w:rPr>
                <w:rFonts w:ascii="Arial" w:hAnsi="Arial" w:cs="Arial"/>
                <w:sz w:val="18"/>
                <w:szCs w:val="18"/>
              </w:rPr>
              <w:t>-</w:t>
            </w:r>
            <w:r w:rsidRPr="001B703D">
              <w:rPr>
                <w:rFonts w:ascii="Arial" w:hAnsi="Arial" w:cs="Arial"/>
                <w:sz w:val="18"/>
                <w:szCs w:val="18"/>
              </w:rPr>
              <w:tab/>
              <w:t>Pay Per Use Insurance</w:t>
            </w:r>
          </w:p>
          <w:p w14:paraId="1C5B0EA6" w14:textId="77777777" w:rsidR="001B703D" w:rsidRPr="001B703D" w:rsidRDefault="001B703D" w:rsidP="001B703D">
            <w:pPr>
              <w:ind w:left="568" w:hanging="284"/>
              <w:rPr>
                <w:rFonts w:ascii="Arial" w:hAnsi="Arial" w:cs="Arial"/>
                <w:b/>
                <w:bCs/>
                <w:sz w:val="18"/>
                <w:szCs w:val="18"/>
              </w:rPr>
            </w:pPr>
            <w:r w:rsidRPr="001B703D">
              <w:rPr>
                <w:rFonts w:ascii="Arial" w:hAnsi="Arial" w:cs="Arial"/>
                <w:sz w:val="18"/>
                <w:szCs w:val="18"/>
              </w:rPr>
              <w:t>-</w:t>
            </w:r>
            <w:r w:rsidRPr="001B703D">
              <w:rPr>
                <w:rFonts w:ascii="Arial" w:hAnsi="Arial" w:cs="Arial"/>
                <w:sz w:val="18"/>
                <w:szCs w:val="18"/>
              </w:rPr>
              <w:tab/>
              <w:t>Taxi Meter</w:t>
            </w:r>
          </w:p>
          <w:p w14:paraId="6C4DBE15" w14:textId="77777777" w:rsidR="001B703D" w:rsidRPr="001B703D" w:rsidRDefault="001B703D" w:rsidP="001B703D">
            <w:pPr>
              <w:ind w:left="568" w:hanging="284"/>
              <w:rPr>
                <w:rFonts w:ascii="Arial" w:hAnsi="Arial" w:cs="Arial"/>
                <w:b/>
                <w:bCs/>
                <w:sz w:val="18"/>
                <w:szCs w:val="18"/>
              </w:rPr>
            </w:pPr>
            <w:r w:rsidRPr="001B703D">
              <w:rPr>
                <w:rFonts w:ascii="Arial" w:hAnsi="Arial" w:cs="Arial"/>
                <w:sz w:val="18"/>
                <w:szCs w:val="18"/>
              </w:rPr>
              <w:t>-</w:t>
            </w:r>
            <w:r w:rsidRPr="001B703D">
              <w:rPr>
                <w:rFonts w:ascii="Arial" w:hAnsi="Arial" w:cs="Arial"/>
                <w:sz w:val="18"/>
                <w:szCs w:val="18"/>
              </w:rPr>
              <w:tab/>
              <w:t>Parking Fee Calculation</w:t>
            </w:r>
          </w:p>
        </w:tc>
        <w:tc>
          <w:tcPr>
            <w:tcW w:w="1826" w:type="dxa"/>
            <w:vMerge w:val="restart"/>
            <w:vAlign w:val="center"/>
          </w:tcPr>
          <w:p w14:paraId="7D822C47" w14:textId="77777777" w:rsidR="001B703D" w:rsidRPr="001B703D" w:rsidRDefault="001B703D" w:rsidP="001B703D">
            <w:pPr>
              <w:jc w:val="center"/>
              <w:rPr>
                <w:rFonts w:ascii="Arial" w:hAnsi="Arial" w:cs="Arial"/>
                <w:sz w:val="18"/>
                <w:szCs w:val="18"/>
              </w:rPr>
            </w:pPr>
            <w:r w:rsidRPr="001B703D">
              <w:rPr>
                <w:rFonts w:ascii="Arial" w:hAnsi="Arial" w:cs="Arial"/>
                <w:sz w:val="18"/>
                <w:szCs w:val="18"/>
              </w:rPr>
              <w:t xml:space="preserve">Typical range: </w:t>
            </w:r>
          </w:p>
          <w:p w14:paraId="05E99B5B" w14:textId="77777777" w:rsidR="001B703D" w:rsidRPr="001B703D" w:rsidRDefault="001B703D" w:rsidP="001B703D">
            <w:pPr>
              <w:jc w:val="center"/>
              <w:rPr>
                <w:rFonts w:ascii="Arial" w:hAnsi="Arial" w:cs="Arial"/>
                <w:sz w:val="18"/>
                <w:szCs w:val="18"/>
              </w:rPr>
            </w:pPr>
            <w:r w:rsidRPr="001B703D">
              <w:rPr>
                <w:rFonts w:ascii="Arial" w:hAnsi="Arial" w:cs="Arial"/>
                <w:sz w:val="18"/>
                <w:szCs w:val="18"/>
              </w:rPr>
              <w:t>≥10</w:t>
            </w:r>
            <w:r w:rsidRPr="001B703D">
              <w:rPr>
                <w:rFonts w:ascii="Arial" w:hAnsi="Arial" w:cs="Arial"/>
                <w:sz w:val="18"/>
                <w:szCs w:val="18"/>
                <w:vertAlign w:val="superscript"/>
              </w:rPr>
              <w:t>-6</w:t>
            </w:r>
            <w:r w:rsidRPr="001B703D">
              <w:rPr>
                <w:rFonts w:ascii="Arial" w:hAnsi="Arial" w:cs="Arial"/>
                <w:sz w:val="18"/>
                <w:szCs w:val="18"/>
              </w:rPr>
              <w:t>/hr to ≤10</w:t>
            </w:r>
            <w:r w:rsidRPr="001B703D">
              <w:rPr>
                <w:rFonts w:ascii="Arial" w:hAnsi="Arial" w:cs="Arial"/>
                <w:sz w:val="18"/>
                <w:szCs w:val="18"/>
                <w:vertAlign w:val="superscript"/>
              </w:rPr>
              <w:t>-4</w:t>
            </w:r>
            <w:r w:rsidRPr="001B703D">
              <w:rPr>
                <w:rFonts w:ascii="Arial" w:hAnsi="Arial" w:cs="Arial"/>
                <w:sz w:val="18"/>
                <w:szCs w:val="18"/>
              </w:rPr>
              <w:t>/hr</w:t>
            </w:r>
          </w:p>
        </w:tc>
        <w:tc>
          <w:tcPr>
            <w:tcW w:w="1737" w:type="dxa"/>
            <w:vMerge w:val="restart"/>
            <w:vAlign w:val="center"/>
          </w:tcPr>
          <w:p w14:paraId="6DF99366" w14:textId="77777777" w:rsidR="001B703D" w:rsidRPr="001B703D" w:rsidRDefault="001B703D" w:rsidP="001B703D">
            <w:pPr>
              <w:jc w:val="center"/>
              <w:rPr>
                <w:rFonts w:ascii="Arial" w:hAnsi="Arial" w:cs="Arial"/>
                <w:sz w:val="18"/>
                <w:szCs w:val="18"/>
              </w:rPr>
            </w:pPr>
            <w:r w:rsidRPr="001B703D">
              <w:rPr>
                <w:rFonts w:ascii="Arial" w:hAnsi="Arial" w:cs="Arial"/>
                <w:sz w:val="18"/>
                <w:szCs w:val="18"/>
              </w:rPr>
              <w:t>Typical range: ≥1.5m to &lt;25m</w:t>
            </w:r>
          </w:p>
        </w:tc>
        <w:tc>
          <w:tcPr>
            <w:tcW w:w="1271" w:type="dxa"/>
            <w:vMerge/>
            <w:vAlign w:val="center"/>
          </w:tcPr>
          <w:p w14:paraId="1A98A9BE" w14:textId="77777777" w:rsidR="001B703D" w:rsidRPr="001B703D" w:rsidRDefault="001B703D" w:rsidP="001B703D">
            <w:pPr>
              <w:jc w:val="center"/>
              <w:rPr>
                <w:rFonts w:ascii="Arial" w:hAnsi="Arial" w:cs="Arial"/>
                <w:sz w:val="18"/>
                <w:szCs w:val="18"/>
              </w:rPr>
            </w:pPr>
          </w:p>
        </w:tc>
        <w:tc>
          <w:tcPr>
            <w:tcW w:w="1403" w:type="dxa"/>
            <w:vMerge w:val="restart"/>
            <w:vAlign w:val="center"/>
          </w:tcPr>
          <w:p w14:paraId="6DB490E6" w14:textId="77777777" w:rsidR="001B703D" w:rsidRPr="001B703D" w:rsidRDefault="001B703D" w:rsidP="001B703D">
            <w:pPr>
              <w:jc w:val="center"/>
              <w:rPr>
                <w:rFonts w:ascii="Arial" w:hAnsi="Arial" w:cs="Arial"/>
                <w:sz w:val="18"/>
                <w:szCs w:val="18"/>
              </w:rPr>
            </w:pPr>
          </w:p>
          <w:p w14:paraId="4327AE35" w14:textId="77777777" w:rsidR="001B703D" w:rsidRPr="001B703D" w:rsidRDefault="001B703D" w:rsidP="001B703D">
            <w:pPr>
              <w:jc w:val="center"/>
              <w:rPr>
                <w:rFonts w:ascii="Arial" w:hAnsi="Arial" w:cs="Arial"/>
                <w:sz w:val="18"/>
                <w:szCs w:val="18"/>
              </w:rPr>
            </w:pPr>
            <w:r w:rsidRPr="001B703D">
              <w:rPr>
                <w:rFonts w:ascii="Arial" w:hAnsi="Arial" w:cs="Arial"/>
                <w:sz w:val="18"/>
                <w:szCs w:val="18"/>
              </w:rPr>
              <w:t>Typically ranges from 95% to 99.9% or greater</w:t>
            </w:r>
          </w:p>
        </w:tc>
      </w:tr>
      <w:tr w:rsidR="001B703D" w:rsidRPr="001B703D" w14:paraId="501B5838" w14:textId="77777777" w:rsidTr="00C10939">
        <w:tc>
          <w:tcPr>
            <w:tcW w:w="3256" w:type="dxa"/>
            <w:vAlign w:val="center"/>
          </w:tcPr>
          <w:p w14:paraId="5E835138" w14:textId="77777777" w:rsidR="001B703D" w:rsidRPr="001B703D" w:rsidRDefault="001B703D" w:rsidP="001B703D">
            <w:pPr>
              <w:rPr>
                <w:rFonts w:ascii="Arial" w:hAnsi="Arial" w:cs="Arial"/>
                <w:b/>
                <w:bCs/>
                <w:sz w:val="18"/>
                <w:szCs w:val="18"/>
              </w:rPr>
            </w:pPr>
            <w:r w:rsidRPr="001B703D">
              <w:rPr>
                <w:rFonts w:ascii="Arial" w:hAnsi="Arial" w:cs="Arial"/>
                <w:b/>
                <w:bCs/>
                <w:sz w:val="18"/>
                <w:szCs w:val="18"/>
              </w:rPr>
              <w:t xml:space="preserve">Smart Mobility </w:t>
            </w:r>
          </w:p>
          <w:p w14:paraId="6ECFB106" w14:textId="77777777" w:rsidR="001B703D" w:rsidRPr="001B703D" w:rsidRDefault="001B703D" w:rsidP="001B703D">
            <w:pPr>
              <w:ind w:left="568" w:hanging="284"/>
              <w:rPr>
                <w:rFonts w:ascii="Arial" w:hAnsi="Arial" w:cs="Arial"/>
                <w:sz w:val="18"/>
                <w:szCs w:val="18"/>
              </w:rPr>
            </w:pPr>
            <w:r w:rsidRPr="001B703D">
              <w:rPr>
                <w:rFonts w:ascii="Arial" w:hAnsi="Arial" w:cs="Arial"/>
                <w:sz w:val="18"/>
                <w:szCs w:val="18"/>
              </w:rPr>
              <w:t>-</w:t>
            </w:r>
            <w:r w:rsidRPr="001B703D">
              <w:rPr>
                <w:rFonts w:ascii="Arial" w:hAnsi="Arial" w:cs="Arial"/>
                <w:sz w:val="18"/>
                <w:szCs w:val="18"/>
              </w:rPr>
              <w:tab/>
              <w:t>Freight and Fleet Management</w:t>
            </w:r>
          </w:p>
          <w:p w14:paraId="30C731A9" w14:textId="77777777" w:rsidR="001B703D" w:rsidRPr="001B703D" w:rsidRDefault="001B703D" w:rsidP="001B703D">
            <w:pPr>
              <w:ind w:left="568" w:hanging="284"/>
              <w:rPr>
                <w:rFonts w:ascii="Arial" w:hAnsi="Arial" w:cs="Arial"/>
                <w:sz w:val="18"/>
                <w:szCs w:val="18"/>
              </w:rPr>
            </w:pPr>
            <w:r w:rsidRPr="001B703D">
              <w:rPr>
                <w:rFonts w:ascii="Arial" w:hAnsi="Arial" w:cs="Arial"/>
                <w:sz w:val="18"/>
                <w:szCs w:val="18"/>
              </w:rPr>
              <w:t>-</w:t>
            </w:r>
            <w:r w:rsidRPr="001B703D">
              <w:rPr>
                <w:rFonts w:ascii="Arial" w:hAnsi="Arial" w:cs="Arial"/>
                <w:sz w:val="18"/>
                <w:szCs w:val="18"/>
              </w:rPr>
              <w:tab/>
              <w:t>Cargo/Asset Management</w:t>
            </w:r>
          </w:p>
          <w:p w14:paraId="64C8EB3F" w14:textId="77777777" w:rsidR="001B703D" w:rsidRPr="001B703D" w:rsidRDefault="001B703D" w:rsidP="001B703D">
            <w:pPr>
              <w:ind w:left="568" w:hanging="284"/>
              <w:rPr>
                <w:rFonts w:ascii="Arial" w:hAnsi="Arial" w:cs="Arial"/>
                <w:sz w:val="18"/>
                <w:szCs w:val="18"/>
              </w:rPr>
            </w:pPr>
            <w:r w:rsidRPr="001B703D">
              <w:rPr>
                <w:rFonts w:ascii="Arial" w:hAnsi="Arial" w:cs="Arial"/>
                <w:sz w:val="18"/>
                <w:szCs w:val="18"/>
              </w:rPr>
              <w:t>-</w:t>
            </w:r>
            <w:r w:rsidRPr="001B703D">
              <w:rPr>
                <w:rFonts w:ascii="Arial" w:hAnsi="Arial" w:cs="Arial"/>
                <w:sz w:val="18"/>
                <w:szCs w:val="18"/>
              </w:rPr>
              <w:tab/>
              <w:t>Vehicle Access/Clearance</w:t>
            </w:r>
          </w:p>
          <w:p w14:paraId="0AF5BB56" w14:textId="77777777" w:rsidR="001B703D" w:rsidRPr="001B703D" w:rsidRDefault="001B703D" w:rsidP="001B703D">
            <w:pPr>
              <w:ind w:left="568" w:hanging="284"/>
              <w:rPr>
                <w:rFonts w:ascii="Arial" w:hAnsi="Arial" w:cs="Arial"/>
                <w:sz w:val="18"/>
                <w:szCs w:val="18"/>
              </w:rPr>
            </w:pPr>
            <w:r w:rsidRPr="001B703D">
              <w:rPr>
                <w:rFonts w:ascii="Arial" w:hAnsi="Arial" w:cs="Arial"/>
                <w:sz w:val="18"/>
                <w:szCs w:val="18"/>
              </w:rPr>
              <w:t>-</w:t>
            </w:r>
            <w:r w:rsidRPr="001B703D">
              <w:rPr>
                <w:rFonts w:ascii="Arial" w:hAnsi="Arial" w:cs="Arial"/>
                <w:sz w:val="18"/>
                <w:szCs w:val="18"/>
              </w:rPr>
              <w:tab/>
              <w:t>Emergency Vehicle Priority</w:t>
            </w:r>
          </w:p>
          <w:p w14:paraId="102097DB" w14:textId="77777777" w:rsidR="001B703D" w:rsidRPr="001B703D" w:rsidRDefault="001B703D" w:rsidP="001B703D">
            <w:pPr>
              <w:ind w:left="568" w:hanging="284"/>
              <w:rPr>
                <w:rFonts w:ascii="Arial" w:hAnsi="Arial" w:cs="Arial"/>
                <w:sz w:val="18"/>
                <w:szCs w:val="18"/>
              </w:rPr>
            </w:pPr>
            <w:r w:rsidRPr="001B703D">
              <w:rPr>
                <w:rFonts w:ascii="Arial" w:hAnsi="Arial" w:cs="Arial"/>
                <w:sz w:val="18"/>
                <w:szCs w:val="18"/>
              </w:rPr>
              <w:t>-</w:t>
            </w:r>
            <w:r w:rsidRPr="001B703D">
              <w:rPr>
                <w:rFonts w:ascii="Arial" w:hAnsi="Arial" w:cs="Arial"/>
                <w:sz w:val="18"/>
                <w:szCs w:val="18"/>
              </w:rPr>
              <w:tab/>
              <w:t>Speed Limit Information</w:t>
            </w:r>
          </w:p>
          <w:p w14:paraId="4D6E5638" w14:textId="77777777" w:rsidR="001B703D" w:rsidRPr="001B703D" w:rsidRDefault="001B703D" w:rsidP="001B703D">
            <w:pPr>
              <w:ind w:left="568" w:hanging="284"/>
              <w:rPr>
                <w:rFonts w:ascii="Arial" w:hAnsi="Arial" w:cs="Arial"/>
                <w:sz w:val="18"/>
                <w:szCs w:val="18"/>
              </w:rPr>
            </w:pPr>
            <w:r w:rsidRPr="001B703D">
              <w:rPr>
                <w:rFonts w:ascii="Arial" w:hAnsi="Arial" w:cs="Arial"/>
                <w:sz w:val="18"/>
                <w:szCs w:val="18"/>
              </w:rPr>
              <w:t>-</w:t>
            </w:r>
            <w:r w:rsidRPr="001B703D">
              <w:rPr>
                <w:rFonts w:ascii="Arial" w:hAnsi="Arial" w:cs="Arial"/>
                <w:sz w:val="18"/>
                <w:szCs w:val="18"/>
              </w:rPr>
              <w:tab/>
              <w:t>In-Vehicle Signage</w:t>
            </w:r>
          </w:p>
          <w:p w14:paraId="1CEE7BE3" w14:textId="77777777" w:rsidR="001B703D" w:rsidRPr="001B703D" w:rsidRDefault="001B703D" w:rsidP="001B703D">
            <w:pPr>
              <w:ind w:left="568" w:hanging="284"/>
              <w:rPr>
                <w:rFonts w:ascii="Arial" w:hAnsi="Arial" w:cs="Arial"/>
                <w:sz w:val="18"/>
                <w:szCs w:val="18"/>
              </w:rPr>
            </w:pPr>
            <w:r w:rsidRPr="001B703D">
              <w:rPr>
                <w:rFonts w:ascii="Arial" w:hAnsi="Arial" w:cs="Arial"/>
                <w:sz w:val="18"/>
                <w:szCs w:val="18"/>
              </w:rPr>
              <w:t>-</w:t>
            </w:r>
            <w:r w:rsidRPr="001B703D">
              <w:rPr>
                <w:rFonts w:ascii="Arial" w:hAnsi="Arial" w:cs="Arial"/>
                <w:sz w:val="18"/>
                <w:szCs w:val="18"/>
              </w:rPr>
              <w:tab/>
              <w:t>Reduce Speed Warning</w:t>
            </w:r>
          </w:p>
          <w:p w14:paraId="04136944" w14:textId="77777777" w:rsidR="001B703D" w:rsidRPr="001B703D" w:rsidRDefault="001B703D" w:rsidP="001B703D">
            <w:pPr>
              <w:ind w:left="568" w:hanging="284"/>
              <w:rPr>
                <w:rFonts w:ascii="Arial" w:hAnsi="Arial" w:cs="Arial"/>
                <w:b/>
                <w:bCs/>
                <w:sz w:val="18"/>
                <w:szCs w:val="18"/>
              </w:rPr>
            </w:pPr>
            <w:r w:rsidRPr="001B703D">
              <w:rPr>
                <w:rFonts w:ascii="Arial" w:hAnsi="Arial" w:cs="Arial"/>
                <w:sz w:val="18"/>
                <w:szCs w:val="18"/>
              </w:rPr>
              <w:t>-</w:t>
            </w:r>
            <w:r w:rsidRPr="001B703D">
              <w:rPr>
                <w:rFonts w:ascii="Arial" w:hAnsi="Arial" w:cs="Arial"/>
                <w:sz w:val="18"/>
                <w:szCs w:val="18"/>
              </w:rPr>
              <w:tab/>
              <w:t>Dynamic Ride Sharing</w:t>
            </w:r>
          </w:p>
        </w:tc>
        <w:tc>
          <w:tcPr>
            <w:tcW w:w="1826" w:type="dxa"/>
            <w:vMerge/>
            <w:vAlign w:val="center"/>
          </w:tcPr>
          <w:p w14:paraId="77BA1936" w14:textId="77777777" w:rsidR="001B703D" w:rsidRPr="001B703D" w:rsidRDefault="001B703D" w:rsidP="001B703D">
            <w:pPr>
              <w:jc w:val="center"/>
              <w:rPr>
                <w:rFonts w:ascii="Arial" w:hAnsi="Arial" w:cs="Arial"/>
                <w:sz w:val="18"/>
                <w:szCs w:val="18"/>
              </w:rPr>
            </w:pPr>
          </w:p>
        </w:tc>
        <w:tc>
          <w:tcPr>
            <w:tcW w:w="1737" w:type="dxa"/>
            <w:vMerge/>
            <w:vAlign w:val="center"/>
          </w:tcPr>
          <w:p w14:paraId="39661FB5" w14:textId="77777777" w:rsidR="001B703D" w:rsidRPr="001B703D" w:rsidRDefault="001B703D" w:rsidP="001B703D">
            <w:pPr>
              <w:jc w:val="center"/>
              <w:rPr>
                <w:rFonts w:ascii="Arial" w:hAnsi="Arial" w:cs="Arial"/>
                <w:sz w:val="18"/>
                <w:szCs w:val="18"/>
              </w:rPr>
            </w:pPr>
          </w:p>
        </w:tc>
        <w:tc>
          <w:tcPr>
            <w:tcW w:w="1271" w:type="dxa"/>
            <w:vMerge/>
            <w:vAlign w:val="center"/>
          </w:tcPr>
          <w:p w14:paraId="1DDB3C98" w14:textId="77777777" w:rsidR="001B703D" w:rsidRPr="001B703D" w:rsidRDefault="001B703D" w:rsidP="001B703D">
            <w:pPr>
              <w:jc w:val="center"/>
              <w:rPr>
                <w:rFonts w:ascii="Arial" w:hAnsi="Arial" w:cs="Arial"/>
                <w:sz w:val="18"/>
                <w:szCs w:val="18"/>
              </w:rPr>
            </w:pPr>
          </w:p>
        </w:tc>
        <w:tc>
          <w:tcPr>
            <w:tcW w:w="1403" w:type="dxa"/>
            <w:vMerge/>
            <w:vAlign w:val="center"/>
          </w:tcPr>
          <w:p w14:paraId="7EB064E3" w14:textId="77777777" w:rsidR="001B703D" w:rsidRPr="001B703D" w:rsidRDefault="001B703D" w:rsidP="001B703D">
            <w:pPr>
              <w:jc w:val="center"/>
              <w:rPr>
                <w:rFonts w:ascii="Arial" w:hAnsi="Arial" w:cs="Arial"/>
                <w:sz w:val="18"/>
                <w:szCs w:val="18"/>
              </w:rPr>
            </w:pPr>
          </w:p>
        </w:tc>
      </w:tr>
      <w:tr w:rsidR="001B703D" w:rsidRPr="001B703D" w14:paraId="54B4CEA9" w14:textId="77777777" w:rsidTr="001B703D">
        <w:trPr>
          <w:trHeight w:val="283"/>
        </w:trPr>
        <w:tc>
          <w:tcPr>
            <w:tcW w:w="9493" w:type="dxa"/>
            <w:gridSpan w:val="5"/>
            <w:shd w:val="clear" w:color="auto" w:fill="D9D9D9"/>
            <w:vAlign w:val="center"/>
          </w:tcPr>
          <w:p w14:paraId="44142AA5" w14:textId="77777777" w:rsidR="001B703D" w:rsidRPr="001B703D" w:rsidRDefault="001B703D" w:rsidP="001B703D">
            <w:pPr>
              <w:jc w:val="center"/>
              <w:rPr>
                <w:rFonts w:ascii="Arial" w:hAnsi="Arial" w:cs="Arial"/>
                <w:sz w:val="18"/>
                <w:szCs w:val="18"/>
              </w:rPr>
            </w:pPr>
            <w:r w:rsidRPr="001B703D">
              <w:rPr>
                <w:rFonts w:ascii="Arial" w:hAnsi="Arial" w:cs="Arial"/>
                <w:b/>
                <w:bCs/>
                <w:sz w:val="18"/>
                <w:szCs w:val="18"/>
              </w:rPr>
              <w:t>RAIL EXAMPLES</w:t>
            </w:r>
          </w:p>
        </w:tc>
      </w:tr>
      <w:tr w:rsidR="001B703D" w:rsidRPr="001B703D" w14:paraId="23631A2E" w14:textId="77777777" w:rsidTr="001B703D">
        <w:trPr>
          <w:trHeight w:val="283"/>
        </w:trPr>
        <w:tc>
          <w:tcPr>
            <w:tcW w:w="3256" w:type="dxa"/>
            <w:shd w:val="clear" w:color="auto" w:fill="D9D9D9"/>
            <w:vAlign w:val="center"/>
          </w:tcPr>
          <w:p w14:paraId="3769179D" w14:textId="77777777" w:rsidR="001B703D" w:rsidRPr="001B703D" w:rsidRDefault="001B703D" w:rsidP="001B703D">
            <w:pPr>
              <w:rPr>
                <w:rFonts w:ascii="Arial" w:hAnsi="Arial" w:cs="Arial"/>
                <w:sz w:val="18"/>
                <w:szCs w:val="18"/>
              </w:rPr>
            </w:pPr>
            <w:r w:rsidRPr="001B703D">
              <w:rPr>
                <w:rFonts w:ascii="Arial" w:hAnsi="Arial" w:cs="Arial"/>
                <w:b/>
                <w:bCs/>
                <w:sz w:val="18"/>
                <w:szCs w:val="18"/>
              </w:rPr>
              <w:t>APPLICATION CATEGORIES</w:t>
            </w:r>
          </w:p>
        </w:tc>
        <w:tc>
          <w:tcPr>
            <w:tcW w:w="1826" w:type="dxa"/>
            <w:shd w:val="clear" w:color="auto" w:fill="D9D9D9"/>
            <w:vAlign w:val="center"/>
          </w:tcPr>
          <w:p w14:paraId="55BBC34B" w14:textId="77777777" w:rsidR="001B703D" w:rsidRPr="001B703D" w:rsidRDefault="001B703D" w:rsidP="001B703D">
            <w:pPr>
              <w:jc w:val="center"/>
              <w:rPr>
                <w:rFonts w:ascii="Arial" w:hAnsi="Arial" w:cs="Arial"/>
                <w:sz w:val="18"/>
                <w:szCs w:val="18"/>
              </w:rPr>
            </w:pPr>
            <w:r w:rsidRPr="001B703D">
              <w:rPr>
                <w:rFonts w:ascii="Arial" w:hAnsi="Arial" w:cs="Arial"/>
                <w:b/>
                <w:bCs/>
                <w:sz w:val="18"/>
                <w:szCs w:val="18"/>
              </w:rPr>
              <w:t>TIR</w:t>
            </w:r>
          </w:p>
        </w:tc>
        <w:tc>
          <w:tcPr>
            <w:tcW w:w="1737" w:type="dxa"/>
            <w:shd w:val="clear" w:color="auto" w:fill="D9D9D9"/>
            <w:vAlign w:val="center"/>
          </w:tcPr>
          <w:p w14:paraId="1F3FE53F" w14:textId="77777777" w:rsidR="001B703D" w:rsidRPr="001B703D" w:rsidRDefault="001B703D" w:rsidP="001B703D">
            <w:pPr>
              <w:jc w:val="center"/>
              <w:rPr>
                <w:rFonts w:ascii="Arial" w:hAnsi="Arial" w:cs="Arial"/>
                <w:sz w:val="18"/>
                <w:szCs w:val="18"/>
              </w:rPr>
            </w:pPr>
            <w:r w:rsidRPr="001B703D">
              <w:rPr>
                <w:rFonts w:ascii="Arial" w:hAnsi="Arial" w:cs="Arial"/>
                <w:b/>
                <w:bCs/>
                <w:sz w:val="18"/>
                <w:szCs w:val="18"/>
              </w:rPr>
              <w:t>AL</w:t>
            </w:r>
          </w:p>
        </w:tc>
        <w:tc>
          <w:tcPr>
            <w:tcW w:w="1271" w:type="dxa"/>
            <w:shd w:val="clear" w:color="auto" w:fill="D9D9D9"/>
            <w:vAlign w:val="center"/>
          </w:tcPr>
          <w:p w14:paraId="714A62EC" w14:textId="77777777" w:rsidR="001B703D" w:rsidRPr="001B703D" w:rsidRDefault="001B703D" w:rsidP="001B703D">
            <w:pPr>
              <w:jc w:val="center"/>
              <w:rPr>
                <w:rFonts w:ascii="Arial" w:hAnsi="Arial" w:cs="Arial"/>
                <w:sz w:val="18"/>
                <w:szCs w:val="18"/>
              </w:rPr>
            </w:pPr>
            <w:r w:rsidRPr="001B703D">
              <w:rPr>
                <w:rFonts w:ascii="Arial" w:hAnsi="Arial" w:cs="Arial"/>
                <w:b/>
                <w:bCs/>
                <w:sz w:val="18"/>
                <w:szCs w:val="18"/>
              </w:rPr>
              <w:t>TTA</w:t>
            </w:r>
          </w:p>
        </w:tc>
        <w:tc>
          <w:tcPr>
            <w:tcW w:w="1403" w:type="dxa"/>
            <w:shd w:val="clear" w:color="auto" w:fill="D9D9D9"/>
            <w:vAlign w:val="center"/>
          </w:tcPr>
          <w:p w14:paraId="4DC1EB0C" w14:textId="77777777" w:rsidR="001B703D" w:rsidRPr="001B703D" w:rsidRDefault="001B703D" w:rsidP="001B703D">
            <w:pPr>
              <w:jc w:val="center"/>
              <w:rPr>
                <w:rFonts w:ascii="Arial" w:hAnsi="Arial" w:cs="Arial"/>
                <w:b/>
                <w:bCs/>
                <w:sz w:val="18"/>
                <w:szCs w:val="18"/>
              </w:rPr>
            </w:pPr>
            <w:r w:rsidRPr="001B703D">
              <w:rPr>
                <w:rFonts w:ascii="Arial" w:hAnsi="Arial" w:cs="Arial"/>
                <w:b/>
                <w:bCs/>
                <w:sz w:val="18"/>
                <w:szCs w:val="18"/>
              </w:rPr>
              <w:t>Integrity Availability</w:t>
            </w:r>
          </w:p>
        </w:tc>
      </w:tr>
      <w:tr w:rsidR="001B703D" w:rsidRPr="001B703D" w14:paraId="5694EA2D" w14:textId="77777777" w:rsidTr="00C10939">
        <w:tc>
          <w:tcPr>
            <w:tcW w:w="3256" w:type="dxa"/>
          </w:tcPr>
          <w:p w14:paraId="2BF022FD" w14:textId="77777777" w:rsidR="001B703D" w:rsidRPr="001B703D" w:rsidRDefault="001B703D" w:rsidP="001B703D">
            <w:pPr>
              <w:rPr>
                <w:rFonts w:ascii="Arial" w:hAnsi="Arial" w:cs="Arial"/>
                <w:b/>
                <w:bCs/>
                <w:sz w:val="18"/>
                <w:szCs w:val="18"/>
              </w:rPr>
            </w:pPr>
            <w:r w:rsidRPr="001B703D">
              <w:rPr>
                <w:rFonts w:ascii="Arial" w:hAnsi="Arial" w:cs="Arial"/>
                <w:b/>
                <w:bCs/>
                <w:sz w:val="18"/>
                <w:szCs w:val="18"/>
              </w:rPr>
              <w:t xml:space="preserve">Safety-Critical Applications </w:t>
            </w:r>
          </w:p>
          <w:p w14:paraId="367B1A4E" w14:textId="77777777" w:rsidR="001B703D" w:rsidRPr="001B703D" w:rsidRDefault="001B703D" w:rsidP="001B703D">
            <w:pPr>
              <w:ind w:left="568" w:hanging="284"/>
              <w:rPr>
                <w:rFonts w:ascii="Arial" w:hAnsi="Arial" w:cs="Arial"/>
                <w:sz w:val="18"/>
                <w:szCs w:val="18"/>
              </w:rPr>
            </w:pPr>
            <w:r w:rsidRPr="001B703D">
              <w:rPr>
                <w:rFonts w:ascii="Arial" w:hAnsi="Arial" w:cs="Arial"/>
                <w:sz w:val="18"/>
                <w:szCs w:val="18"/>
              </w:rPr>
              <w:t>-</w:t>
            </w:r>
            <w:r w:rsidRPr="001B703D">
              <w:rPr>
                <w:rFonts w:ascii="Arial" w:hAnsi="Arial" w:cs="Arial"/>
                <w:sz w:val="18"/>
                <w:szCs w:val="18"/>
              </w:rPr>
              <w:tab/>
              <w:t>Absolute Positioning</w:t>
            </w:r>
          </w:p>
          <w:p w14:paraId="2BACE65F" w14:textId="77777777" w:rsidR="001B703D" w:rsidRPr="001B703D" w:rsidRDefault="001B703D" w:rsidP="001B703D">
            <w:pPr>
              <w:ind w:left="568" w:hanging="284"/>
              <w:rPr>
                <w:rFonts w:ascii="Arial" w:hAnsi="Arial" w:cs="Arial"/>
                <w:sz w:val="18"/>
                <w:szCs w:val="18"/>
              </w:rPr>
            </w:pPr>
            <w:r w:rsidRPr="001B703D">
              <w:rPr>
                <w:rFonts w:ascii="Arial" w:hAnsi="Arial" w:cs="Arial"/>
                <w:sz w:val="18"/>
                <w:szCs w:val="18"/>
              </w:rPr>
              <w:t>-</w:t>
            </w:r>
            <w:r w:rsidRPr="001B703D">
              <w:rPr>
                <w:rFonts w:ascii="Arial" w:hAnsi="Arial" w:cs="Arial"/>
                <w:sz w:val="18"/>
                <w:szCs w:val="18"/>
              </w:rPr>
              <w:tab/>
              <w:t>Train Awakening</w:t>
            </w:r>
          </w:p>
          <w:p w14:paraId="230EA1A8" w14:textId="77777777" w:rsidR="001B703D" w:rsidRPr="001B703D" w:rsidRDefault="001B703D" w:rsidP="001B703D">
            <w:pPr>
              <w:ind w:left="568" w:hanging="284"/>
              <w:rPr>
                <w:rFonts w:ascii="Arial" w:hAnsi="Arial" w:cs="Arial"/>
                <w:sz w:val="18"/>
                <w:szCs w:val="18"/>
              </w:rPr>
            </w:pPr>
            <w:r w:rsidRPr="001B703D">
              <w:rPr>
                <w:rFonts w:ascii="Arial" w:hAnsi="Arial" w:cs="Arial"/>
                <w:sz w:val="18"/>
                <w:szCs w:val="18"/>
              </w:rPr>
              <w:t>-</w:t>
            </w:r>
            <w:r w:rsidRPr="001B703D">
              <w:rPr>
                <w:rFonts w:ascii="Arial" w:hAnsi="Arial" w:cs="Arial"/>
                <w:sz w:val="18"/>
                <w:szCs w:val="18"/>
              </w:rPr>
              <w:tab/>
              <w:t>Cold Movement Detector</w:t>
            </w:r>
          </w:p>
          <w:p w14:paraId="035C6707" w14:textId="77777777" w:rsidR="001B703D" w:rsidRPr="001B703D" w:rsidRDefault="001B703D" w:rsidP="001B703D">
            <w:pPr>
              <w:ind w:left="568" w:hanging="284"/>
              <w:rPr>
                <w:rFonts w:ascii="Arial" w:hAnsi="Arial" w:cs="Arial"/>
                <w:sz w:val="18"/>
                <w:szCs w:val="18"/>
              </w:rPr>
            </w:pPr>
            <w:r w:rsidRPr="001B703D">
              <w:rPr>
                <w:rFonts w:ascii="Arial" w:hAnsi="Arial" w:cs="Arial"/>
                <w:sz w:val="18"/>
                <w:szCs w:val="18"/>
              </w:rPr>
              <w:t>-</w:t>
            </w:r>
            <w:r w:rsidRPr="001B703D">
              <w:rPr>
                <w:rFonts w:ascii="Arial" w:hAnsi="Arial" w:cs="Arial"/>
                <w:sz w:val="18"/>
                <w:szCs w:val="18"/>
              </w:rPr>
              <w:tab/>
              <w:t>Track Identification</w:t>
            </w:r>
          </w:p>
          <w:p w14:paraId="0AE9257A" w14:textId="77777777" w:rsidR="001B703D" w:rsidRPr="001B703D" w:rsidRDefault="001B703D" w:rsidP="001B703D">
            <w:pPr>
              <w:ind w:left="568" w:hanging="284"/>
              <w:rPr>
                <w:rFonts w:ascii="Arial" w:hAnsi="Arial" w:cs="Arial"/>
                <w:sz w:val="18"/>
                <w:szCs w:val="18"/>
              </w:rPr>
            </w:pPr>
            <w:r w:rsidRPr="001B703D">
              <w:rPr>
                <w:rFonts w:ascii="Arial" w:hAnsi="Arial" w:cs="Arial"/>
                <w:sz w:val="18"/>
                <w:szCs w:val="18"/>
              </w:rPr>
              <w:t>-</w:t>
            </w:r>
            <w:r w:rsidRPr="001B703D">
              <w:rPr>
                <w:rFonts w:ascii="Arial" w:hAnsi="Arial" w:cs="Arial"/>
                <w:sz w:val="18"/>
                <w:szCs w:val="18"/>
              </w:rPr>
              <w:tab/>
              <w:t>Level Crossing Protection</w:t>
            </w:r>
          </w:p>
          <w:p w14:paraId="2D4F7A0F" w14:textId="77777777" w:rsidR="001B703D" w:rsidRPr="001B703D" w:rsidRDefault="001B703D" w:rsidP="001B703D">
            <w:pPr>
              <w:ind w:left="568" w:hanging="284"/>
              <w:rPr>
                <w:rFonts w:ascii="Arial" w:hAnsi="Arial" w:cs="Arial"/>
                <w:sz w:val="18"/>
                <w:szCs w:val="18"/>
              </w:rPr>
            </w:pPr>
            <w:r w:rsidRPr="001B703D">
              <w:rPr>
                <w:rFonts w:ascii="Arial" w:hAnsi="Arial" w:cs="Arial"/>
                <w:sz w:val="18"/>
                <w:szCs w:val="18"/>
              </w:rPr>
              <w:t>-</w:t>
            </w:r>
            <w:r w:rsidRPr="001B703D">
              <w:rPr>
                <w:rFonts w:ascii="Arial" w:hAnsi="Arial" w:cs="Arial"/>
                <w:sz w:val="18"/>
                <w:szCs w:val="18"/>
              </w:rPr>
              <w:tab/>
              <w:t>Train Integrity and Train Length Monitoring</w:t>
            </w:r>
          </w:p>
        </w:tc>
        <w:tc>
          <w:tcPr>
            <w:tcW w:w="1826" w:type="dxa"/>
            <w:vAlign w:val="center"/>
          </w:tcPr>
          <w:p w14:paraId="5D0A68E4" w14:textId="77777777" w:rsidR="001B703D" w:rsidRPr="001B703D" w:rsidRDefault="001B703D" w:rsidP="001B703D">
            <w:pPr>
              <w:jc w:val="center"/>
              <w:rPr>
                <w:rFonts w:ascii="Arial" w:hAnsi="Arial" w:cs="Arial"/>
                <w:sz w:val="18"/>
                <w:szCs w:val="18"/>
              </w:rPr>
            </w:pPr>
            <w:r w:rsidRPr="001B703D">
              <w:rPr>
                <w:rFonts w:ascii="Arial" w:hAnsi="Arial" w:cs="Arial"/>
                <w:sz w:val="18"/>
                <w:szCs w:val="18"/>
              </w:rPr>
              <w:t xml:space="preserve">Typical range: </w:t>
            </w:r>
          </w:p>
          <w:p w14:paraId="7366CBB1" w14:textId="77777777" w:rsidR="001B703D" w:rsidRPr="001B703D" w:rsidRDefault="001B703D" w:rsidP="001B703D">
            <w:pPr>
              <w:jc w:val="center"/>
              <w:rPr>
                <w:rFonts w:ascii="Arial" w:hAnsi="Arial" w:cs="Arial"/>
                <w:sz w:val="18"/>
                <w:szCs w:val="18"/>
              </w:rPr>
            </w:pPr>
            <w:r w:rsidRPr="001B703D">
              <w:rPr>
                <w:rFonts w:ascii="Arial" w:hAnsi="Arial" w:cs="Arial"/>
                <w:sz w:val="18"/>
                <w:szCs w:val="18"/>
              </w:rPr>
              <w:t>≥10</w:t>
            </w:r>
            <w:r w:rsidRPr="001B703D">
              <w:rPr>
                <w:rFonts w:ascii="Arial" w:hAnsi="Arial" w:cs="Arial"/>
                <w:sz w:val="18"/>
                <w:szCs w:val="18"/>
                <w:vertAlign w:val="superscript"/>
              </w:rPr>
              <w:t>-9</w:t>
            </w:r>
            <w:r w:rsidRPr="001B703D">
              <w:rPr>
                <w:rFonts w:ascii="Arial" w:hAnsi="Arial" w:cs="Arial"/>
                <w:sz w:val="18"/>
                <w:szCs w:val="18"/>
              </w:rPr>
              <w:t>/hr to ≤10</w:t>
            </w:r>
            <w:r w:rsidRPr="001B703D">
              <w:rPr>
                <w:rFonts w:ascii="Arial" w:hAnsi="Arial" w:cs="Arial"/>
                <w:sz w:val="18"/>
                <w:szCs w:val="18"/>
                <w:vertAlign w:val="superscript"/>
              </w:rPr>
              <w:t>-8</w:t>
            </w:r>
            <w:r w:rsidRPr="001B703D">
              <w:rPr>
                <w:rFonts w:ascii="Arial" w:hAnsi="Arial" w:cs="Arial"/>
                <w:sz w:val="18"/>
                <w:szCs w:val="18"/>
              </w:rPr>
              <w:t>/hr</w:t>
            </w:r>
          </w:p>
        </w:tc>
        <w:tc>
          <w:tcPr>
            <w:tcW w:w="1737" w:type="dxa"/>
            <w:vAlign w:val="center"/>
          </w:tcPr>
          <w:p w14:paraId="49A12F79" w14:textId="77777777" w:rsidR="001B703D" w:rsidRPr="001B703D" w:rsidRDefault="001B703D" w:rsidP="001B703D">
            <w:pPr>
              <w:jc w:val="center"/>
              <w:rPr>
                <w:rFonts w:ascii="Arial" w:hAnsi="Arial" w:cs="Arial"/>
                <w:sz w:val="18"/>
                <w:szCs w:val="18"/>
              </w:rPr>
            </w:pPr>
            <w:r w:rsidRPr="001B703D">
              <w:rPr>
                <w:rFonts w:ascii="Arial" w:hAnsi="Arial" w:cs="Arial"/>
                <w:sz w:val="18"/>
                <w:szCs w:val="18"/>
              </w:rPr>
              <w:t>Typical range: ≥2.5m to &lt;25m</w:t>
            </w:r>
          </w:p>
        </w:tc>
        <w:tc>
          <w:tcPr>
            <w:tcW w:w="1271" w:type="dxa"/>
            <w:vAlign w:val="center"/>
          </w:tcPr>
          <w:p w14:paraId="47A71DA2" w14:textId="77777777" w:rsidR="001B703D" w:rsidRPr="001B703D" w:rsidRDefault="001B703D" w:rsidP="001B703D">
            <w:pPr>
              <w:jc w:val="center"/>
              <w:rPr>
                <w:rFonts w:ascii="Arial" w:hAnsi="Arial" w:cs="Arial"/>
                <w:sz w:val="18"/>
                <w:szCs w:val="18"/>
              </w:rPr>
            </w:pPr>
            <w:r w:rsidRPr="001B703D">
              <w:rPr>
                <w:rFonts w:ascii="Arial" w:hAnsi="Arial" w:cs="Arial"/>
                <w:sz w:val="18"/>
                <w:szCs w:val="18"/>
              </w:rPr>
              <w:t xml:space="preserve">Typically </w:t>
            </w:r>
          </w:p>
          <w:p w14:paraId="7128A02C" w14:textId="77777777" w:rsidR="001B703D" w:rsidRPr="001B703D" w:rsidRDefault="001B703D" w:rsidP="001B703D">
            <w:pPr>
              <w:jc w:val="center"/>
              <w:rPr>
                <w:rFonts w:ascii="Arial" w:hAnsi="Arial" w:cs="Arial"/>
                <w:sz w:val="18"/>
                <w:szCs w:val="18"/>
              </w:rPr>
            </w:pPr>
            <w:r w:rsidRPr="001B703D">
              <w:rPr>
                <w:rFonts w:ascii="Arial" w:hAnsi="Arial" w:cs="Arial"/>
                <w:sz w:val="18"/>
                <w:szCs w:val="18"/>
              </w:rPr>
              <w:t>&lt;7s</w:t>
            </w:r>
          </w:p>
        </w:tc>
        <w:tc>
          <w:tcPr>
            <w:tcW w:w="1403" w:type="dxa"/>
            <w:vAlign w:val="center"/>
          </w:tcPr>
          <w:p w14:paraId="3E95AD66" w14:textId="77777777" w:rsidR="001B703D" w:rsidRPr="001B703D" w:rsidRDefault="001B703D" w:rsidP="001B703D">
            <w:pPr>
              <w:jc w:val="center"/>
              <w:rPr>
                <w:rFonts w:ascii="Arial" w:hAnsi="Arial" w:cs="Arial"/>
                <w:sz w:val="18"/>
                <w:szCs w:val="18"/>
              </w:rPr>
            </w:pPr>
          </w:p>
          <w:p w14:paraId="0F29EDCF" w14:textId="77777777" w:rsidR="001B703D" w:rsidRPr="001B703D" w:rsidRDefault="001B703D" w:rsidP="001B703D">
            <w:pPr>
              <w:jc w:val="center"/>
              <w:rPr>
                <w:rFonts w:ascii="Arial" w:hAnsi="Arial" w:cs="Arial"/>
                <w:sz w:val="18"/>
                <w:szCs w:val="18"/>
              </w:rPr>
            </w:pPr>
            <w:r w:rsidRPr="001B703D">
              <w:rPr>
                <w:rFonts w:ascii="Arial" w:hAnsi="Arial" w:cs="Arial"/>
                <w:sz w:val="18"/>
                <w:szCs w:val="18"/>
              </w:rPr>
              <w:t>Typically ranges from 95% to 99.9% or greater</w:t>
            </w:r>
          </w:p>
        </w:tc>
      </w:tr>
      <w:tr w:rsidR="001B703D" w:rsidRPr="001B703D" w14:paraId="0793BF35" w14:textId="77777777" w:rsidTr="00C10939">
        <w:tc>
          <w:tcPr>
            <w:tcW w:w="3256" w:type="dxa"/>
          </w:tcPr>
          <w:p w14:paraId="29E8A13B" w14:textId="77777777" w:rsidR="001B703D" w:rsidRPr="001B703D" w:rsidRDefault="001B703D" w:rsidP="001B703D">
            <w:pPr>
              <w:rPr>
                <w:rFonts w:ascii="Arial" w:hAnsi="Arial" w:cs="Arial"/>
                <w:b/>
                <w:bCs/>
                <w:sz w:val="18"/>
                <w:szCs w:val="18"/>
              </w:rPr>
            </w:pPr>
            <w:r w:rsidRPr="001B703D">
              <w:rPr>
                <w:rFonts w:ascii="Arial" w:hAnsi="Arial" w:cs="Arial"/>
                <w:b/>
                <w:bCs/>
                <w:sz w:val="18"/>
                <w:szCs w:val="18"/>
              </w:rPr>
              <w:t xml:space="preserve">Liability-Critical Applications </w:t>
            </w:r>
          </w:p>
          <w:p w14:paraId="5C7E28F4" w14:textId="77777777" w:rsidR="001B703D" w:rsidRPr="001B703D" w:rsidRDefault="001B703D" w:rsidP="001B703D">
            <w:pPr>
              <w:ind w:left="568" w:hanging="284"/>
              <w:rPr>
                <w:rFonts w:ascii="Arial" w:hAnsi="Arial" w:cs="Arial"/>
                <w:sz w:val="18"/>
                <w:szCs w:val="18"/>
              </w:rPr>
            </w:pPr>
            <w:r w:rsidRPr="001B703D">
              <w:rPr>
                <w:rFonts w:ascii="Arial" w:hAnsi="Arial" w:cs="Arial"/>
                <w:sz w:val="18"/>
                <w:szCs w:val="18"/>
              </w:rPr>
              <w:t>-</w:t>
            </w:r>
            <w:r w:rsidRPr="001B703D">
              <w:rPr>
                <w:rFonts w:ascii="Arial" w:hAnsi="Arial" w:cs="Arial"/>
                <w:sz w:val="18"/>
                <w:szCs w:val="18"/>
              </w:rPr>
              <w:tab/>
              <w:t>Trackside Personal Protection</w:t>
            </w:r>
          </w:p>
          <w:p w14:paraId="6EF5EE48" w14:textId="77777777" w:rsidR="001B703D" w:rsidRPr="001B703D" w:rsidRDefault="001B703D" w:rsidP="001B703D">
            <w:pPr>
              <w:ind w:left="568" w:hanging="284"/>
              <w:rPr>
                <w:rFonts w:ascii="Arial" w:hAnsi="Arial" w:cs="Arial"/>
                <w:b/>
                <w:bCs/>
                <w:sz w:val="18"/>
                <w:szCs w:val="18"/>
              </w:rPr>
            </w:pPr>
            <w:r w:rsidRPr="001B703D">
              <w:rPr>
                <w:rFonts w:ascii="Arial" w:hAnsi="Arial" w:cs="Arial"/>
                <w:sz w:val="18"/>
                <w:szCs w:val="18"/>
              </w:rPr>
              <w:t>-</w:t>
            </w:r>
            <w:r w:rsidRPr="001B703D">
              <w:rPr>
                <w:rFonts w:ascii="Arial" w:hAnsi="Arial" w:cs="Arial"/>
                <w:sz w:val="18"/>
                <w:szCs w:val="18"/>
              </w:rPr>
              <w:tab/>
              <w:t>Management of Emergencies</w:t>
            </w:r>
          </w:p>
          <w:p w14:paraId="6BC33198" w14:textId="77777777" w:rsidR="001B703D" w:rsidRPr="001B703D" w:rsidRDefault="001B703D" w:rsidP="001B703D">
            <w:pPr>
              <w:ind w:left="568" w:hanging="284"/>
              <w:rPr>
                <w:rFonts w:ascii="Arial" w:hAnsi="Arial" w:cs="Arial"/>
                <w:b/>
                <w:bCs/>
                <w:sz w:val="18"/>
                <w:szCs w:val="18"/>
              </w:rPr>
            </w:pPr>
            <w:r w:rsidRPr="001B703D">
              <w:rPr>
                <w:rFonts w:ascii="Arial" w:hAnsi="Arial" w:cs="Arial"/>
                <w:sz w:val="18"/>
                <w:szCs w:val="18"/>
              </w:rPr>
              <w:t>-</w:t>
            </w:r>
            <w:r w:rsidRPr="001B703D">
              <w:rPr>
                <w:rFonts w:ascii="Arial" w:hAnsi="Arial" w:cs="Arial"/>
                <w:sz w:val="18"/>
                <w:szCs w:val="18"/>
              </w:rPr>
              <w:tab/>
              <w:t>Train Warning Systems</w:t>
            </w:r>
          </w:p>
          <w:p w14:paraId="3A5294B9" w14:textId="77777777" w:rsidR="001B703D" w:rsidRPr="001B703D" w:rsidRDefault="001B703D" w:rsidP="001B703D">
            <w:pPr>
              <w:ind w:left="568" w:hanging="284"/>
              <w:rPr>
                <w:rFonts w:ascii="Arial" w:hAnsi="Arial" w:cs="Arial"/>
                <w:b/>
                <w:bCs/>
                <w:sz w:val="18"/>
                <w:szCs w:val="18"/>
              </w:rPr>
            </w:pPr>
            <w:r w:rsidRPr="001B703D">
              <w:rPr>
                <w:rFonts w:ascii="Arial" w:hAnsi="Arial" w:cs="Arial"/>
                <w:sz w:val="18"/>
                <w:szCs w:val="18"/>
              </w:rPr>
              <w:t>-</w:t>
            </w:r>
            <w:r w:rsidRPr="001B703D">
              <w:rPr>
                <w:rFonts w:ascii="Arial" w:hAnsi="Arial" w:cs="Arial"/>
                <w:sz w:val="18"/>
                <w:szCs w:val="18"/>
              </w:rPr>
              <w:tab/>
              <w:t>Infrastructure Charging</w:t>
            </w:r>
          </w:p>
          <w:p w14:paraId="0D204478" w14:textId="77777777" w:rsidR="001B703D" w:rsidRPr="001B703D" w:rsidRDefault="001B703D" w:rsidP="001B703D">
            <w:pPr>
              <w:ind w:left="568" w:hanging="284"/>
              <w:rPr>
                <w:rFonts w:ascii="Arial" w:hAnsi="Arial" w:cs="Arial"/>
                <w:b/>
                <w:bCs/>
                <w:sz w:val="18"/>
                <w:szCs w:val="18"/>
              </w:rPr>
            </w:pPr>
            <w:r w:rsidRPr="001B703D">
              <w:rPr>
                <w:rFonts w:ascii="Arial" w:hAnsi="Arial" w:cs="Arial"/>
                <w:sz w:val="18"/>
                <w:szCs w:val="18"/>
              </w:rPr>
              <w:t>-</w:t>
            </w:r>
            <w:r w:rsidRPr="001B703D">
              <w:rPr>
                <w:rFonts w:ascii="Arial" w:hAnsi="Arial" w:cs="Arial"/>
                <w:sz w:val="18"/>
                <w:szCs w:val="18"/>
              </w:rPr>
              <w:tab/>
              <w:t>Hazardous Cargo Monitoring</w:t>
            </w:r>
          </w:p>
          <w:p w14:paraId="29EF591B" w14:textId="77777777" w:rsidR="001B703D" w:rsidRPr="001B703D" w:rsidRDefault="001B703D" w:rsidP="001B703D">
            <w:pPr>
              <w:ind w:left="568" w:hanging="284"/>
              <w:rPr>
                <w:rFonts w:ascii="Arial" w:hAnsi="Arial" w:cs="Arial"/>
                <w:b/>
                <w:bCs/>
                <w:sz w:val="18"/>
                <w:szCs w:val="18"/>
              </w:rPr>
            </w:pPr>
            <w:r w:rsidRPr="001B703D">
              <w:rPr>
                <w:rFonts w:ascii="Arial" w:hAnsi="Arial" w:cs="Arial"/>
                <w:sz w:val="18"/>
                <w:szCs w:val="18"/>
              </w:rPr>
              <w:t>-</w:t>
            </w:r>
            <w:r w:rsidRPr="001B703D">
              <w:rPr>
                <w:rFonts w:ascii="Arial" w:hAnsi="Arial" w:cs="Arial"/>
                <w:sz w:val="18"/>
                <w:szCs w:val="18"/>
              </w:rPr>
              <w:tab/>
              <w:t>On-Board Train Monitoring and Recording Unit</w:t>
            </w:r>
          </w:p>
          <w:p w14:paraId="5E3A2C69" w14:textId="77777777" w:rsidR="001B703D" w:rsidRPr="001B703D" w:rsidRDefault="001B703D" w:rsidP="001B703D">
            <w:pPr>
              <w:ind w:left="568" w:hanging="284"/>
              <w:rPr>
                <w:rFonts w:ascii="Arial" w:hAnsi="Arial" w:cs="Arial"/>
                <w:b/>
                <w:bCs/>
                <w:sz w:val="18"/>
                <w:szCs w:val="18"/>
              </w:rPr>
            </w:pPr>
            <w:r w:rsidRPr="001B703D">
              <w:rPr>
                <w:rFonts w:ascii="Arial" w:hAnsi="Arial" w:cs="Arial"/>
                <w:sz w:val="18"/>
                <w:szCs w:val="18"/>
              </w:rPr>
              <w:t>-</w:t>
            </w:r>
            <w:r w:rsidRPr="001B703D">
              <w:rPr>
                <w:rFonts w:ascii="Arial" w:hAnsi="Arial" w:cs="Arial"/>
                <w:sz w:val="18"/>
                <w:szCs w:val="18"/>
              </w:rPr>
              <w:tab/>
              <w:t>Traffic Management Systems</w:t>
            </w:r>
          </w:p>
        </w:tc>
        <w:tc>
          <w:tcPr>
            <w:tcW w:w="1826" w:type="dxa"/>
            <w:vAlign w:val="center"/>
          </w:tcPr>
          <w:p w14:paraId="78C69C8C" w14:textId="77777777" w:rsidR="001B703D" w:rsidRPr="001B703D" w:rsidRDefault="001B703D" w:rsidP="001B703D">
            <w:pPr>
              <w:jc w:val="center"/>
              <w:rPr>
                <w:rFonts w:ascii="Arial" w:hAnsi="Arial" w:cs="Arial"/>
                <w:sz w:val="18"/>
                <w:szCs w:val="18"/>
              </w:rPr>
            </w:pPr>
            <w:r w:rsidRPr="001B703D">
              <w:rPr>
                <w:rFonts w:ascii="Arial" w:hAnsi="Arial" w:cs="Arial"/>
                <w:sz w:val="18"/>
                <w:szCs w:val="18"/>
              </w:rPr>
              <w:t>TBD</w:t>
            </w:r>
          </w:p>
        </w:tc>
        <w:tc>
          <w:tcPr>
            <w:tcW w:w="1737" w:type="dxa"/>
            <w:vAlign w:val="center"/>
          </w:tcPr>
          <w:p w14:paraId="76708FFB" w14:textId="77777777" w:rsidR="001B703D" w:rsidRPr="001B703D" w:rsidRDefault="001B703D" w:rsidP="001B703D">
            <w:pPr>
              <w:jc w:val="center"/>
              <w:rPr>
                <w:rFonts w:ascii="Arial" w:hAnsi="Arial" w:cs="Arial"/>
                <w:sz w:val="18"/>
                <w:szCs w:val="18"/>
              </w:rPr>
            </w:pPr>
            <w:r w:rsidRPr="001B703D">
              <w:rPr>
                <w:rFonts w:ascii="Arial" w:hAnsi="Arial" w:cs="Arial"/>
                <w:sz w:val="18"/>
                <w:szCs w:val="18"/>
              </w:rPr>
              <w:t>Typical range: ≥25m to &lt;62.5m</w:t>
            </w:r>
          </w:p>
        </w:tc>
        <w:tc>
          <w:tcPr>
            <w:tcW w:w="1271" w:type="dxa"/>
            <w:vAlign w:val="center"/>
          </w:tcPr>
          <w:p w14:paraId="57508A64" w14:textId="77777777" w:rsidR="001B703D" w:rsidRPr="001B703D" w:rsidRDefault="001B703D" w:rsidP="001B703D">
            <w:pPr>
              <w:jc w:val="center"/>
              <w:rPr>
                <w:rFonts w:ascii="Arial" w:hAnsi="Arial" w:cs="Arial"/>
                <w:sz w:val="18"/>
                <w:szCs w:val="18"/>
              </w:rPr>
            </w:pPr>
            <w:r w:rsidRPr="001B703D">
              <w:rPr>
                <w:rFonts w:ascii="Arial" w:hAnsi="Arial" w:cs="Arial"/>
                <w:sz w:val="18"/>
                <w:szCs w:val="18"/>
              </w:rPr>
              <w:t>Typically ranges from seconds to &lt;30s</w:t>
            </w:r>
          </w:p>
        </w:tc>
        <w:tc>
          <w:tcPr>
            <w:tcW w:w="1403" w:type="dxa"/>
            <w:vAlign w:val="center"/>
          </w:tcPr>
          <w:p w14:paraId="47DA020F" w14:textId="77777777" w:rsidR="001B703D" w:rsidRPr="001B703D" w:rsidRDefault="001B703D" w:rsidP="001B703D">
            <w:pPr>
              <w:jc w:val="center"/>
              <w:rPr>
                <w:rFonts w:ascii="Arial" w:hAnsi="Arial" w:cs="Arial"/>
                <w:sz w:val="18"/>
                <w:szCs w:val="18"/>
              </w:rPr>
            </w:pPr>
          </w:p>
          <w:p w14:paraId="118DCA3A" w14:textId="77777777" w:rsidR="001B703D" w:rsidRPr="001B703D" w:rsidRDefault="001B703D" w:rsidP="001B703D">
            <w:pPr>
              <w:jc w:val="center"/>
              <w:rPr>
                <w:rFonts w:ascii="Arial" w:hAnsi="Arial" w:cs="Arial"/>
                <w:sz w:val="18"/>
                <w:szCs w:val="18"/>
              </w:rPr>
            </w:pPr>
            <w:r w:rsidRPr="001B703D">
              <w:rPr>
                <w:rFonts w:ascii="Arial" w:hAnsi="Arial" w:cs="Arial"/>
                <w:sz w:val="18"/>
                <w:szCs w:val="18"/>
              </w:rPr>
              <w:t>Typically ranges from 95% to 99.9% or greater</w:t>
            </w:r>
          </w:p>
        </w:tc>
      </w:tr>
      <w:tr w:rsidR="001B703D" w:rsidRPr="001B703D" w14:paraId="09F04384" w14:textId="77777777" w:rsidTr="001B703D">
        <w:trPr>
          <w:trHeight w:val="284"/>
        </w:trPr>
        <w:tc>
          <w:tcPr>
            <w:tcW w:w="9493" w:type="dxa"/>
            <w:gridSpan w:val="5"/>
            <w:shd w:val="clear" w:color="auto" w:fill="D9D9D9"/>
            <w:vAlign w:val="center"/>
          </w:tcPr>
          <w:p w14:paraId="4A1B0734" w14:textId="77777777" w:rsidR="001B703D" w:rsidRPr="001B703D" w:rsidRDefault="001B703D" w:rsidP="001B703D">
            <w:pPr>
              <w:jc w:val="center"/>
              <w:rPr>
                <w:rFonts w:ascii="Arial" w:hAnsi="Arial" w:cs="Arial"/>
                <w:sz w:val="18"/>
                <w:szCs w:val="18"/>
              </w:rPr>
            </w:pPr>
            <w:r w:rsidRPr="001B703D">
              <w:rPr>
                <w:rFonts w:ascii="Arial" w:hAnsi="Arial" w:cs="Arial"/>
                <w:b/>
                <w:bCs/>
                <w:sz w:val="18"/>
                <w:szCs w:val="18"/>
              </w:rPr>
              <w:t>IIOT EXAMPLES</w:t>
            </w:r>
          </w:p>
        </w:tc>
      </w:tr>
      <w:tr w:rsidR="001B703D" w:rsidRPr="001B703D" w14:paraId="089CCA4A" w14:textId="77777777" w:rsidTr="001B703D">
        <w:trPr>
          <w:trHeight w:val="284"/>
        </w:trPr>
        <w:tc>
          <w:tcPr>
            <w:tcW w:w="3256" w:type="dxa"/>
            <w:shd w:val="clear" w:color="auto" w:fill="D9D9D9"/>
            <w:vAlign w:val="center"/>
          </w:tcPr>
          <w:p w14:paraId="615AC876" w14:textId="77777777" w:rsidR="001B703D" w:rsidRPr="001B703D" w:rsidRDefault="001B703D" w:rsidP="001B703D">
            <w:pPr>
              <w:rPr>
                <w:rFonts w:ascii="Arial" w:hAnsi="Arial" w:cs="Arial"/>
                <w:b/>
                <w:bCs/>
                <w:sz w:val="18"/>
                <w:szCs w:val="18"/>
              </w:rPr>
            </w:pPr>
            <w:r w:rsidRPr="001B703D">
              <w:rPr>
                <w:rFonts w:ascii="Arial" w:hAnsi="Arial" w:cs="Arial"/>
                <w:b/>
                <w:bCs/>
                <w:sz w:val="18"/>
                <w:szCs w:val="18"/>
              </w:rPr>
              <w:t>APPLICATION CATEGORIES</w:t>
            </w:r>
          </w:p>
        </w:tc>
        <w:tc>
          <w:tcPr>
            <w:tcW w:w="1826" w:type="dxa"/>
            <w:shd w:val="clear" w:color="auto" w:fill="D9D9D9"/>
            <w:vAlign w:val="center"/>
          </w:tcPr>
          <w:p w14:paraId="72C948D5" w14:textId="77777777" w:rsidR="001B703D" w:rsidRPr="001B703D" w:rsidRDefault="001B703D" w:rsidP="001B703D">
            <w:pPr>
              <w:jc w:val="center"/>
              <w:rPr>
                <w:rFonts w:ascii="Arial" w:hAnsi="Arial" w:cs="Arial"/>
                <w:sz w:val="18"/>
                <w:szCs w:val="18"/>
              </w:rPr>
            </w:pPr>
            <w:r w:rsidRPr="001B703D">
              <w:rPr>
                <w:rFonts w:ascii="Arial" w:hAnsi="Arial" w:cs="Arial"/>
                <w:b/>
                <w:bCs/>
                <w:sz w:val="18"/>
                <w:szCs w:val="18"/>
              </w:rPr>
              <w:t>TIR</w:t>
            </w:r>
          </w:p>
        </w:tc>
        <w:tc>
          <w:tcPr>
            <w:tcW w:w="1737" w:type="dxa"/>
            <w:shd w:val="clear" w:color="auto" w:fill="D9D9D9"/>
            <w:vAlign w:val="center"/>
          </w:tcPr>
          <w:p w14:paraId="2EFBF7C9" w14:textId="77777777" w:rsidR="001B703D" w:rsidRPr="001B703D" w:rsidRDefault="001B703D" w:rsidP="001B703D">
            <w:pPr>
              <w:jc w:val="center"/>
              <w:rPr>
                <w:rFonts w:ascii="Arial" w:hAnsi="Arial" w:cs="Arial"/>
                <w:sz w:val="18"/>
                <w:szCs w:val="18"/>
              </w:rPr>
            </w:pPr>
            <w:r w:rsidRPr="001B703D">
              <w:rPr>
                <w:rFonts w:ascii="Arial" w:hAnsi="Arial" w:cs="Arial"/>
                <w:b/>
                <w:bCs/>
                <w:sz w:val="18"/>
                <w:szCs w:val="18"/>
              </w:rPr>
              <w:t>AL</w:t>
            </w:r>
          </w:p>
        </w:tc>
        <w:tc>
          <w:tcPr>
            <w:tcW w:w="1271" w:type="dxa"/>
            <w:shd w:val="clear" w:color="auto" w:fill="D9D9D9"/>
            <w:vAlign w:val="center"/>
          </w:tcPr>
          <w:p w14:paraId="135D9CC9" w14:textId="77777777" w:rsidR="001B703D" w:rsidRPr="001B703D" w:rsidRDefault="001B703D" w:rsidP="001B703D">
            <w:pPr>
              <w:jc w:val="center"/>
              <w:rPr>
                <w:rFonts w:ascii="Arial" w:hAnsi="Arial" w:cs="Arial"/>
                <w:sz w:val="18"/>
                <w:szCs w:val="18"/>
              </w:rPr>
            </w:pPr>
            <w:r w:rsidRPr="001B703D">
              <w:rPr>
                <w:rFonts w:ascii="Arial" w:hAnsi="Arial" w:cs="Arial"/>
                <w:b/>
                <w:bCs/>
                <w:sz w:val="18"/>
                <w:szCs w:val="18"/>
              </w:rPr>
              <w:t>TTA</w:t>
            </w:r>
          </w:p>
        </w:tc>
        <w:tc>
          <w:tcPr>
            <w:tcW w:w="1403" w:type="dxa"/>
            <w:shd w:val="clear" w:color="auto" w:fill="D9D9D9"/>
            <w:vAlign w:val="center"/>
          </w:tcPr>
          <w:p w14:paraId="0954786E" w14:textId="77777777" w:rsidR="001B703D" w:rsidRPr="001B703D" w:rsidRDefault="001B703D" w:rsidP="001B703D">
            <w:pPr>
              <w:jc w:val="center"/>
              <w:rPr>
                <w:rFonts w:ascii="Arial" w:hAnsi="Arial" w:cs="Arial"/>
                <w:b/>
                <w:bCs/>
                <w:sz w:val="18"/>
                <w:szCs w:val="18"/>
              </w:rPr>
            </w:pPr>
            <w:r w:rsidRPr="001B703D">
              <w:rPr>
                <w:rFonts w:ascii="Arial" w:hAnsi="Arial" w:cs="Arial"/>
                <w:b/>
                <w:bCs/>
                <w:sz w:val="18"/>
                <w:szCs w:val="18"/>
              </w:rPr>
              <w:t>Integrity Availability</w:t>
            </w:r>
          </w:p>
        </w:tc>
      </w:tr>
      <w:tr w:rsidR="001B703D" w:rsidRPr="001B703D" w14:paraId="7015A322" w14:textId="77777777" w:rsidTr="00C10939">
        <w:trPr>
          <w:trHeight w:val="284"/>
        </w:trPr>
        <w:tc>
          <w:tcPr>
            <w:tcW w:w="3256" w:type="dxa"/>
            <w:shd w:val="clear" w:color="auto" w:fill="auto"/>
            <w:vAlign w:val="center"/>
          </w:tcPr>
          <w:p w14:paraId="02092073" w14:textId="77777777" w:rsidR="001B703D" w:rsidRPr="001B703D" w:rsidRDefault="001B703D" w:rsidP="001B703D">
            <w:pPr>
              <w:rPr>
                <w:rFonts w:ascii="Arial" w:hAnsi="Arial" w:cs="Arial"/>
                <w:b/>
                <w:bCs/>
                <w:sz w:val="18"/>
                <w:szCs w:val="18"/>
              </w:rPr>
            </w:pPr>
            <w:r w:rsidRPr="001B703D">
              <w:rPr>
                <w:rFonts w:ascii="Arial" w:hAnsi="Arial" w:cs="Arial"/>
                <w:b/>
                <w:bCs/>
                <w:sz w:val="18"/>
                <w:szCs w:val="18"/>
              </w:rPr>
              <w:t xml:space="preserve">AGV Applications </w:t>
            </w:r>
          </w:p>
          <w:p w14:paraId="332E8BA8" w14:textId="77777777" w:rsidR="001B703D" w:rsidRPr="001B703D" w:rsidRDefault="001B703D" w:rsidP="001B703D">
            <w:pPr>
              <w:ind w:left="568" w:hanging="284"/>
              <w:rPr>
                <w:rFonts w:ascii="Arial" w:hAnsi="Arial" w:cs="Arial"/>
                <w:sz w:val="18"/>
                <w:szCs w:val="18"/>
              </w:rPr>
            </w:pPr>
            <w:r w:rsidRPr="001B703D">
              <w:rPr>
                <w:rFonts w:ascii="Arial" w:hAnsi="Arial" w:cs="Arial"/>
                <w:sz w:val="18"/>
                <w:szCs w:val="18"/>
              </w:rPr>
              <w:t>-</w:t>
            </w:r>
            <w:r w:rsidRPr="001B703D">
              <w:rPr>
                <w:rFonts w:ascii="Arial" w:hAnsi="Arial" w:cs="Arial"/>
                <w:sz w:val="18"/>
                <w:szCs w:val="18"/>
              </w:rPr>
              <w:tab/>
              <w:t>Mobile device tracking</w:t>
            </w:r>
          </w:p>
          <w:p w14:paraId="1BB0887F" w14:textId="77777777" w:rsidR="001B703D" w:rsidRPr="001B703D" w:rsidRDefault="001B703D" w:rsidP="001B703D">
            <w:pPr>
              <w:ind w:left="568" w:hanging="284"/>
              <w:rPr>
                <w:rFonts w:ascii="Arial" w:hAnsi="Arial" w:cs="Arial"/>
                <w:b/>
                <w:bCs/>
                <w:sz w:val="18"/>
                <w:szCs w:val="18"/>
              </w:rPr>
            </w:pPr>
            <w:r w:rsidRPr="001B703D">
              <w:rPr>
                <w:rFonts w:ascii="Arial" w:hAnsi="Arial" w:cs="Arial"/>
                <w:sz w:val="18"/>
                <w:szCs w:val="18"/>
              </w:rPr>
              <w:t>-</w:t>
            </w:r>
            <w:r w:rsidRPr="001B703D">
              <w:rPr>
                <w:rFonts w:ascii="Arial" w:hAnsi="Arial" w:cs="Arial"/>
                <w:sz w:val="18"/>
                <w:szCs w:val="18"/>
              </w:rPr>
              <w:tab/>
              <w:t>Asset tracking</w:t>
            </w:r>
          </w:p>
          <w:p w14:paraId="5E714029" w14:textId="77777777" w:rsidR="001B703D" w:rsidRPr="001B703D" w:rsidRDefault="001B703D" w:rsidP="001B703D">
            <w:pPr>
              <w:ind w:left="568" w:hanging="284"/>
              <w:rPr>
                <w:rFonts w:ascii="Arial" w:hAnsi="Arial" w:cs="Arial"/>
                <w:b/>
                <w:bCs/>
                <w:sz w:val="18"/>
                <w:szCs w:val="18"/>
              </w:rPr>
            </w:pPr>
            <w:r w:rsidRPr="001B703D">
              <w:rPr>
                <w:rFonts w:ascii="Arial" w:hAnsi="Arial" w:cs="Arial"/>
                <w:sz w:val="18"/>
                <w:szCs w:val="18"/>
              </w:rPr>
              <w:t>-</w:t>
            </w:r>
            <w:r w:rsidRPr="001B703D">
              <w:rPr>
                <w:rFonts w:ascii="Arial" w:hAnsi="Arial" w:cs="Arial"/>
                <w:sz w:val="18"/>
                <w:szCs w:val="18"/>
              </w:rPr>
              <w:tab/>
              <w:t>Process automation</w:t>
            </w:r>
          </w:p>
          <w:p w14:paraId="39B73E6F" w14:textId="77777777" w:rsidR="001B703D" w:rsidRPr="001B703D" w:rsidRDefault="001B703D" w:rsidP="001B703D">
            <w:pPr>
              <w:ind w:left="568" w:hanging="284"/>
              <w:rPr>
                <w:rFonts w:ascii="Arial" w:hAnsi="Arial" w:cs="Arial"/>
                <w:b/>
                <w:bCs/>
                <w:sz w:val="18"/>
                <w:szCs w:val="18"/>
              </w:rPr>
            </w:pPr>
            <w:r w:rsidRPr="001B703D">
              <w:rPr>
                <w:rFonts w:ascii="Arial" w:hAnsi="Arial" w:cs="Arial"/>
                <w:sz w:val="18"/>
                <w:szCs w:val="18"/>
              </w:rPr>
              <w:lastRenderedPageBreak/>
              <w:t>-</w:t>
            </w:r>
            <w:r w:rsidRPr="001B703D">
              <w:rPr>
                <w:rFonts w:ascii="Arial" w:hAnsi="Arial" w:cs="Arial"/>
                <w:sz w:val="18"/>
                <w:szCs w:val="18"/>
              </w:rPr>
              <w:tab/>
              <w:t>Inbound logistics</w:t>
            </w:r>
          </w:p>
        </w:tc>
        <w:tc>
          <w:tcPr>
            <w:tcW w:w="1826" w:type="dxa"/>
            <w:shd w:val="clear" w:color="auto" w:fill="auto"/>
            <w:vAlign w:val="center"/>
          </w:tcPr>
          <w:p w14:paraId="45E3047C" w14:textId="77777777" w:rsidR="001B703D" w:rsidRPr="001B703D" w:rsidRDefault="001B703D" w:rsidP="001B703D">
            <w:pPr>
              <w:jc w:val="center"/>
              <w:rPr>
                <w:rFonts w:ascii="Arial" w:hAnsi="Arial" w:cs="Arial"/>
                <w:sz w:val="18"/>
                <w:szCs w:val="18"/>
              </w:rPr>
            </w:pPr>
            <w:r w:rsidRPr="001B703D">
              <w:rPr>
                <w:rFonts w:ascii="Arial" w:hAnsi="Arial" w:cs="Arial"/>
                <w:sz w:val="18"/>
                <w:szCs w:val="18"/>
              </w:rPr>
              <w:lastRenderedPageBreak/>
              <w:t xml:space="preserve">Typical range: </w:t>
            </w:r>
          </w:p>
          <w:p w14:paraId="312FF2EC" w14:textId="77777777" w:rsidR="001B703D" w:rsidRPr="001B703D" w:rsidRDefault="001B703D" w:rsidP="001B703D">
            <w:pPr>
              <w:jc w:val="center"/>
              <w:rPr>
                <w:rFonts w:ascii="Arial" w:hAnsi="Arial" w:cs="Arial"/>
                <w:sz w:val="18"/>
                <w:szCs w:val="18"/>
              </w:rPr>
            </w:pPr>
            <w:r w:rsidRPr="001B703D">
              <w:rPr>
                <w:rFonts w:ascii="Arial" w:hAnsi="Arial" w:cs="Arial"/>
                <w:sz w:val="18"/>
                <w:szCs w:val="18"/>
              </w:rPr>
              <w:t>≥10</w:t>
            </w:r>
            <w:r w:rsidRPr="001B703D">
              <w:rPr>
                <w:rFonts w:ascii="Arial" w:hAnsi="Arial" w:cs="Arial"/>
                <w:sz w:val="18"/>
                <w:szCs w:val="18"/>
                <w:vertAlign w:val="superscript"/>
              </w:rPr>
              <w:t>-8</w:t>
            </w:r>
            <w:r w:rsidRPr="001B703D">
              <w:rPr>
                <w:rFonts w:ascii="Arial" w:hAnsi="Arial" w:cs="Arial"/>
                <w:sz w:val="18"/>
                <w:szCs w:val="18"/>
              </w:rPr>
              <w:t>/hr to ≤10</w:t>
            </w:r>
            <w:r w:rsidRPr="001B703D">
              <w:rPr>
                <w:rFonts w:ascii="Arial" w:hAnsi="Arial" w:cs="Arial"/>
                <w:sz w:val="18"/>
                <w:szCs w:val="18"/>
                <w:vertAlign w:val="superscript"/>
              </w:rPr>
              <w:t>-1</w:t>
            </w:r>
            <w:r w:rsidRPr="001B703D">
              <w:rPr>
                <w:rFonts w:ascii="Arial" w:hAnsi="Arial" w:cs="Arial"/>
                <w:sz w:val="18"/>
                <w:szCs w:val="18"/>
              </w:rPr>
              <w:t>/hr</w:t>
            </w:r>
          </w:p>
        </w:tc>
        <w:tc>
          <w:tcPr>
            <w:tcW w:w="1737" w:type="dxa"/>
            <w:shd w:val="clear" w:color="auto" w:fill="auto"/>
            <w:vAlign w:val="center"/>
          </w:tcPr>
          <w:p w14:paraId="17871477" w14:textId="77777777" w:rsidR="001B703D" w:rsidRPr="001B703D" w:rsidRDefault="001B703D" w:rsidP="001B703D">
            <w:pPr>
              <w:jc w:val="center"/>
              <w:rPr>
                <w:rFonts w:ascii="Arial" w:hAnsi="Arial" w:cs="Arial"/>
                <w:sz w:val="18"/>
                <w:szCs w:val="18"/>
              </w:rPr>
            </w:pPr>
            <w:r w:rsidRPr="001B703D">
              <w:rPr>
                <w:rFonts w:ascii="Arial" w:hAnsi="Arial" w:cs="Arial"/>
                <w:sz w:val="18"/>
                <w:szCs w:val="18"/>
              </w:rPr>
              <w:t xml:space="preserve">Typical range:  </w:t>
            </w:r>
          </w:p>
          <w:p w14:paraId="3428CCB5" w14:textId="77777777" w:rsidR="001B703D" w:rsidRPr="001B703D" w:rsidRDefault="001B703D" w:rsidP="001B703D">
            <w:pPr>
              <w:jc w:val="center"/>
              <w:rPr>
                <w:rFonts w:ascii="Arial" w:hAnsi="Arial" w:cs="Arial"/>
                <w:sz w:val="18"/>
                <w:szCs w:val="18"/>
              </w:rPr>
            </w:pPr>
            <w:r w:rsidRPr="001B703D">
              <w:rPr>
                <w:rFonts w:ascii="Arial" w:hAnsi="Arial" w:cs="Arial"/>
                <w:sz w:val="18"/>
                <w:szCs w:val="18"/>
              </w:rPr>
              <w:t>≥0.5m to &lt;30m (vertical/horizontal)</w:t>
            </w:r>
          </w:p>
        </w:tc>
        <w:tc>
          <w:tcPr>
            <w:tcW w:w="1271" w:type="dxa"/>
            <w:shd w:val="clear" w:color="auto" w:fill="auto"/>
            <w:vAlign w:val="center"/>
          </w:tcPr>
          <w:p w14:paraId="1C420D6E" w14:textId="77777777" w:rsidR="001B703D" w:rsidRPr="001B703D" w:rsidRDefault="001B703D" w:rsidP="001B703D">
            <w:pPr>
              <w:jc w:val="center"/>
              <w:rPr>
                <w:rFonts w:ascii="Arial" w:hAnsi="Arial" w:cs="Arial"/>
                <w:sz w:val="18"/>
                <w:szCs w:val="18"/>
              </w:rPr>
            </w:pPr>
            <w:r w:rsidRPr="001B703D">
              <w:rPr>
                <w:rFonts w:ascii="Arial" w:hAnsi="Arial" w:cs="Arial"/>
                <w:sz w:val="18"/>
                <w:szCs w:val="18"/>
              </w:rPr>
              <w:t xml:space="preserve">Typically ranges from 100s of milliseconds </w:t>
            </w:r>
            <w:r w:rsidRPr="001B703D">
              <w:rPr>
                <w:rFonts w:ascii="Arial" w:hAnsi="Arial" w:cs="Arial"/>
                <w:sz w:val="18"/>
                <w:szCs w:val="18"/>
              </w:rPr>
              <w:lastRenderedPageBreak/>
              <w:t>to &lt;10 seconds</w:t>
            </w:r>
          </w:p>
        </w:tc>
        <w:tc>
          <w:tcPr>
            <w:tcW w:w="1403" w:type="dxa"/>
            <w:shd w:val="clear" w:color="auto" w:fill="auto"/>
            <w:vAlign w:val="center"/>
          </w:tcPr>
          <w:p w14:paraId="2D09E7FD" w14:textId="77777777" w:rsidR="001B703D" w:rsidRPr="001B703D" w:rsidRDefault="001B703D" w:rsidP="001B703D">
            <w:pPr>
              <w:jc w:val="center"/>
              <w:rPr>
                <w:rFonts w:ascii="Arial" w:hAnsi="Arial" w:cs="Arial"/>
                <w:sz w:val="18"/>
                <w:szCs w:val="18"/>
              </w:rPr>
            </w:pPr>
            <w:r w:rsidRPr="001B703D">
              <w:rPr>
                <w:rFonts w:ascii="Arial" w:hAnsi="Arial" w:cs="Arial"/>
                <w:sz w:val="18"/>
                <w:szCs w:val="18"/>
              </w:rPr>
              <w:lastRenderedPageBreak/>
              <w:t>Typically ranges from 95% to 99.9% or greater</w:t>
            </w:r>
          </w:p>
        </w:tc>
      </w:tr>
    </w:tbl>
    <w:p w14:paraId="09204179" w14:textId="77777777" w:rsidR="001B703D" w:rsidRPr="001B703D" w:rsidRDefault="001B703D" w:rsidP="001B703D">
      <w:pPr>
        <w:spacing w:after="180"/>
        <w:rPr>
          <w:lang w:val="en-US"/>
        </w:rPr>
      </w:pPr>
    </w:p>
    <w:p w14:paraId="19221EA8" w14:textId="77777777" w:rsidR="001B703D" w:rsidRDefault="001B703D" w:rsidP="00EE6E88">
      <w:pPr>
        <w:tabs>
          <w:tab w:val="left" w:pos="5103"/>
        </w:tabs>
        <w:spacing w:after="120"/>
        <w:ind w:left="2268" w:hanging="2268"/>
        <w:rPr>
          <w:rFonts w:ascii="Arial" w:hAnsi="Arial" w:cs="Arial"/>
          <w:bCs/>
          <w:lang w:val="sv-SE" w:eastAsia="zh-CN"/>
        </w:rPr>
      </w:pPr>
    </w:p>
    <w:p w14:paraId="4FE8A710" w14:textId="61A6CC19" w:rsidR="00382BF2" w:rsidRDefault="001B703D" w:rsidP="005636B1">
      <w:pPr>
        <w:pStyle w:val="1"/>
      </w:pPr>
      <w:r w:rsidRPr="005636B1">
        <w:rPr>
          <w:rFonts w:hint="eastAsia"/>
        </w:rPr>
        <w:t>S</w:t>
      </w:r>
      <w:r w:rsidRPr="005636B1">
        <w:t xml:space="preserve">ection </w:t>
      </w:r>
      <w:r w:rsidR="005636B1" w:rsidRPr="005636B1">
        <w:t>7.3 of TS 38.305</w:t>
      </w:r>
    </w:p>
    <w:p w14:paraId="0CA279C5" w14:textId="77777777" w:rsidR="00A33CAD" w:rsidRPr="00A33CAD" w:rsidRDefault="00A33CAD" w:rsidP="00A33CAD">
      <w:pPr>
        <w:keepNext/>
        <w:keepLines/>
        <w:spacing w:before="180" w:after="180"/>
        <w:ind w:left="1134" w:hanging="1134"/>
        <w:outlineLvl w:val="1"/>
        <w:rPr>
          <w:rFonts w:ascii="Arial" w:hAnsi="Arial"/>
          <w:sz w:val="32"/>
          <w:lang w:eastAsia="ja-JP"/>
        </w:rPr>
      </w:pPr>
      <w:bookmarkStart w:id="16" w:name="_Toc100832260"/>
      <w:bookmarkStart w:id="17" w:name="_Toc52567354"/>
      <w:bookmarkStart w:id="18" w:name="_Toc46489001"/>
      <w:bookmarkStart w:id="19" w:name="_Toc37338159"/>
      <w:bookmarkStart w:id="20" w:name="_Toc29305344"/>
      <w:bookmarkStart w:id="21" w:name="_Toc12632650"/>
      <w:r w:rsidRPr="00A33CAD">
        <w:rPr>
          <w:rFonts w:ascii="Arial" w:hAnsi="Arial"/>
          <w:sz w:val="32"/>
        </w:rPr>
        <w:t>7.3</w:t>
      </w:r>
      <w:r w:rsidRPr="00A33CAD">
        <w:rPr>
          <w:rFonts w:ascii="Arial" w:hAnsi="Arial"/>
          <w:sz w:val="32"/>
        </w:rPr>
        <w:tab/>
        <w:t>Service Layer Support using combined LPP and NRPPa Procedures</w:t>
      </w:r>
      <w:bookmarkEnd w:id="16"/>
      <w:bookmarkEnd w:id="17"/>
      <w:bookmarkEnd w:id="18"/>
      <w:bookmarkEnd w:id="19"/>
      <w:bookmarkEnd w:id="20"/>
      <w:bookmarkEnd w:id="21"/>
    </w:p>
    <w:p w14:paraId="502621C1" w14:textId="77777777" w:rsidR="00A33CAD" w:rsidRPr="00A33CAD" w:rsidRDefault="00A33CAD" w:rsidP="00A33CAD">
      <w:pPr>
        <w:keepNext/>
        <w:keepLines/>
        <w:spacing w:before="120" w:after="180"/>
        <w:ind w:left="1134" w:hanging="1134"/>
        <w:outlineLvl w:val="2"/>
        <w:rPr>
          <w:rFonts w:ascii="Arial" w:hAnsi="Arial"/>
          <w:sz w:val="28"/>
        </w:rPr>
      </w:pPr>
      <w:bookmarkStart w:id="22" w:name="_Toc100832261"/>
      <w:bookmarkStart w:id="23" w:name="_Toc52567355"/>
      <w:bookmarkStart w:id="24" w:name="_Toc46489002"/>
      <w:bookmarkStart w:id="25" w:name="_Toc37338160"/>
      <w:bookmarkStart w:id="26" w:name="_Toc29305345"/>
      <w:bookmarkStart w:id="27" w:name="_Toc12632651"/>
      <w:r w:rsidRPr="00A33CAD">
        <w:rPr>
          <w:rFonts w:ascii="Arial" w:hAnsi="Arial"/>
          <w:sz w:val="28"/>
        </w:rPr>
        <w:t>7.3.1</w:t>
      </w:r>
      <w:r w:rsidRPr="00A33CAD">
        <w:rPr>
          <w:rFonts w:ascii="Arial" w:hAnsi="Arial"/>
          <w:sz w:val="28"/>
        </w:rPr>
        <w:tab/>
        <w:t>General</w:t>
      </w:r>
      <w:bookmarkEnd w:id="22"/>
      <w:bookmarkEnd w:id="23"/>
      <w:bookmarkEnd w:id="24"/>
      <w:bookmarkEnd w:id="25"/>
      <w:bookmarkEnd w:id="26"/>
      <w:bookmarkEnd w:id="27"/>
    </w:p>
    <w:p w14:paraId="61E9C2E0" w14:textId="77777777" w:rsidR="00A33CAD" w:rsidRPr="00A33CAD" w:rsidRDefault="00A33CAD" w:rsidP="00A33CAD">
      <w:pPr>
        <w:spacing w:after="180"/>
      </w:pPr>
      <w:r w:rsidRPr="00A33CAD">
        <w:t>As described in TS 23.502 [26] and TS 23.273 [35], UE-positioning-related services can be instigated from the 5GC for an NI-LR or MT</w:t>
      </w:r>
      <w:r w:rsidRPr="00A33CAD">
        <w:noBreakHyphen/>
        <w:t>LR location service, or from the UE in case of an MO-LR location service. The complete sequence of operations in the 5GC is defined in TS 23.502 [26] and TS 23.273 [35]. This clause defines the overall sequences of operations that occur in the LMF, NG-RAN and UE as a result of the 5GC operations.</w:t>
      </w:r>
    </w:p>
    <w:p w14:paraId="5FE5FC71" w14:textId="77777777" w:rsidR="00A33CAD" w:rsidRPr="00A33CAD" w:rsidRDefault="00A33CAD" w:rsidP="00A33CAD">
      <w:pPr>
        <w:keepNext/>
        <w:keepLines/>
        <w:spacing w:before="120" w:after="180"/>
        <w:ind w:left="1134" w:hanging="1134"/>
        <w:outlineLvl w:val="2"/>
        <w:rPr>
          <w:rFonts w:ascii="Arial" w:hAnsi="Arial"/>
          <w:sz w:val="28"/>
        </w:rPr>
      </w:pPr>
      <w:bookmarkStart w:id="28" w:name="_Toc100832262"/>
      <w:bookmarkStart w:id="29" w:name="_Toc52567356"/>
      <w:bookmarkStart w:id="30" w:name="_Toc46489003"/>
      <w:bookmarkStart w:id="31" w:name="_Toc37338161"/>
      <w:bookmarkStart w:id="32" w:name="_Toc29305346"/>
      <w:bookmarkStart w:id="33" w:name="_Toc12632652"/>
      <w:r w:rsidRPr="00A33CAD">
        <w:rPr>
          <w:rFonts w:ascii="Arial" w:hAnsi="Arial"/>
          <w:sz w:val="28"/>
        </w:rPr>
        <w:t>7.3.2</w:t>
      </w:r>
      <w:r w:rsidRPr="00A33CAD">
        <w:rPr>
          <w:rFonts w:ascii="Arial" w:hAnsi="Arial"/>
          <w:sz w:val="28"/>
        </w:rPr>
        <w:tab/>
        <w:t>NI-LR and MT-LR Service Support</w:t>
      </w:r>
      <w:bookmarkEnd w:id="28"/>
      <w:bookmarkEnd w:id="29"/>
      <w:bookmarkEnd w:id="30"/>
      <w:bookmarkEnd w:id="31"/>
      <w:bookmarkEnd w:id="32"/>
      <w:bookmarkEnd w:id="33"/>
    </w:p>
    <w:p w14:paraId="15125890" w14:textId="77777777" w:rsidR="00A33CAD" w:rsidRPr="00A33CAD" w:rsidRDefault="00A33CAD" w:rsidP="00A33CAD">
      <w:pPr>
        <w:spacing w:after="180"/>
      </w:pPr>
      <w:r w:rsidRPr="00A33CAD">
        <w:t>Figure 7.3.2-1 shows the sequence of operations for an NI-LR or MT-LR location service, starting at the point where the AMF initiates the service in the LMF.</w:t>
      </w:r>
    </w:p>
    <w:p w14:paraId="7BDC5A29" w14:textId="77777777" w:rsidR="00A33CAD" w:rsidRPr="00A33CAD" w:rsidRDefault="00A33CAD" w:rsidP="00A33CAD">
      <w:pPr>
        <w:keepNext/>
        <w:keepLines/>
        <w:spacing w:before="60" w:after="180"/>
        <w:jc w:val="center"/>
        <w:rPr>
          <w:rFonts w:ascii="Arial" w:hAnsi="Arial"/>
          <w:b/>
        </w:rPr>
      </w:pPr>
      <w:r w:rsidRPr="00A33CAD">
        <w:rPr>
          <w:rFonts w:ascii="Arial" w:hAnsi="Arial"/>
          <w:b/>
          <w:lang w:eastAsia="ja-JP"/>
        </w:rPr>
        <w:object w:dxaOrig="6204" w:dyaOrig="2976" w14:anchorId="6B4E13E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0.35pt;height:148.9pt" o:ole="">
            <v:imagedata r:id="rId11" o:title=""/>
          </v:shape>
          <o:OLEObject Type="Embed" ProgID="Visio.Drawing.11" ShapeID="_x0000_i1025" DrawAspect="Content" ObjectID="_1712395343" r:id="rId12"/>
        </w:object>
      </w:r>
    </w:p>
    <w:p w14:paraId="4F7BCC88" w14:textId="77777777" w:rsidR="00A33CAD" w:rsidRPr="00A33CAD" w:rsidRDefault="00A33CAD" w:rsidP="00A33CAD">
      <w:pPr>
        <w:keepLines/>
        <w:spacing w:after="240"/>
        <w:jc w:val="center"/>
        <w:rPr>
          <w:rFonts w:ascii="Arial" w:hAnsi="Arial"/>
          <w:b/>
        </w:rPr>
      </w:pPr>
      <w:r w:rsidRPr="00A33CAD">
        <w:rPr>
          <w:rFonts w:ascii="Arial" w:hAnsi="Arial"/>
          <w:b/>
        </w:rPr>
        <w:t>Figure 7.3.2-1: UE Positioning Operations to support an MT-LR or NI-LR</w:t>
      </w:r>
    </w:p>
    <w:p w14:paraId="5B625E23" w14:textId="77777777" w:rsidR="00A33CAD" w:rsidRPr="00A33CAD" w:rsidRDefault="00A33CAD" w:rsidP="00A33CAD">
      <w:pPr>
        <w:spacing w:after="180"/>
        <w:ind w:left="568" w:hanging="284"/>
      </w:pPr>
      <w:r w:rsidRPr="00A33CAD">
        <w:t>1.</w:t>
      </w:r>
      <w:r w:rsidRPr="00A33CAD">
        <w:tab/>
        <w:t>The AMF sends a location request to the LMF for a target UE and may include associated QoS, the scheduled location time</w:t>
      </w:r>
      <w:r w:rsidRPr="00A33CAD">
        <w:rPr>
          <w:highlight w:val="yellow"/>
        </w:rPr>
        <w:t>, target integrity risk</w:t>
      </w:r>
      <w:r w:rsidRPr="00A33CAD">
        <w:t xml:space="preserve"> and the UE LPP positioning capabilities when available, as described in TS 23.273 [35].</w:t>
      </w:r>
    </w:p>
    <w:p w14:paraId="67C251A9" w14:textId="77777777" w:rsidR="00A33CAD" w:rsidRPr="00A33CAD" w:rsidRDefault="00A33CAD" w:rsidP="00A33CAD">
      <w:pPr>
        <w:spacing w:after="180"/>
        <w:ind w:left="568" w:hanging="284"/>
      </w:pPr>
      <w:r w:rsidRPr="00A33CAD">
        <w:t>2.</w:t>
      </w:r>
      <w:r w:rsidRPr="00A33CAD">
        <w:tab/>
        <w:t>The LMF may obtain location related information from the UE and/or from the serving NG-RAN Node. In the former case, the LMF instigates one or more LPP procedures to transfer UE positioning capabilities, provide assistance data to the UE and/or obtain location information from the UE. The UE may also instigate one or more LPP procedures after the first LPP message is received from the LMF (e.g., to request assistance data from the LMF). If a scheduled location time is provided in step 1, the LMF may schedule location measurements by the UE to occur at or near to the scheduled location time. The LPP procedures to transfer UE LPP positioning capabilities may be skipped if the LMF already obtained the UE positioning capabilities from the AMF in step 1.</w:t>
      </w:r>
    </w:p>
    <w:p w14:paraId="24C39E48" w14:textId="77777777" w:rsidR="00A33CAD" w:rsidRPr="00A33CAD" w:rsidRDefault="00A33CAD" w:rsidP="00A33CAD">
      <w:pPr>
        <w:spacing w:after="180"/>
        <w:ind w:left="568" w:hanging="284"/>
      </w:pPr>
      <w:r w:rsidRPr="00A33CAD">
        <w:t>3.</w:t>
      </w:r>
      <w:r w:rsidRPr="00A33CAD">
        <w:tab/>
        <w:t>If the LMF needs location related information for the UE from the NG-RAN, the LMF instigates one or more NRPPa procedures. Step 3 is not necessarily serialised with step 2; if the LMF and NG-RAN Node have the information to determine what procedures need to take place for the location service, step 3 could precede or overlap with step 2. If a scheduled location time is provided in step 1, the LMF may schedule location measurements by the NG-RAN to occur at or near to the scheduled location time.</w:t>
      </w:r>
    </w:p>
    <w:p w14:paraId="7F9BFA7B" w14:textId="77777777" w:rsidR="00A33CAD" w:rsidRPr="00A33CAD" w:rsidRDefault="00A33CAD" w:rsidP="00A33CAD">
      <w:pPr>
        <w:spacing w:after="180"/>
        <w:ind w:left="568" w:hanging="284"/>
      </w:pPr>
      <w:r w:rsidRPr="00A33CAD">
        <w:t>4.</w:t>
      </w:r>
      <w:r w:rsidRPr="00A33CAD">
        <w:tab/>
        <w:t>The LMF returns a location response to the AMF with any location estimate</w:t>
      </w:r>
      <w:r w:rsidRPr="00A33CAD">
        <w:rPr>
          <w:highlight w:val="yellow"/>
        </w:rPr>
        <w:t>, protection level and achievable target integrity risk</w:t>
      </w:r>
      <w:r w:rsidRPr="00A33CAD">
        <w:t xml:space="preserve"> obtained as a result of steps 2 and 3. The LMF may also return the LPP UE capabilities as described in TS 23.273 [35].</w:t>
      </w:r>
    </w:p>
    <w:p w14:paraId="1DE54815" w14:textId="77777777" w:rsidR="00A33CAD" w:rsidRPr="00A33CAD" w:rsidRDefault="00A33CAD" w:rsidP="00A33CAD">
      <w:pPr>
        <w:keepLines/>
        <w:spacing w:after="180"/>
        <w:ind w:left="1135" w:hanging="851"/>
      </w:pPr>
      <w:r w:rsidRPr="00A33CAD">
        <w:lastRenderedPageBreak/>
        <w:t>NOTE:</w:t>
      </w:r>
      <w:r w:rsidRPr="00A33CAD">
        <w:tab/>
        <w:t>The LMF may send a location request to the UE at step 2 containing the scheduled location time sometime before the scheduled location time to allow the UE to enter CM Connected state shortly before the scheduled location time.</w:t>
      </w:r>
    </w:p>
    <w:p w14:paraId="000B09CD" w14:textId="77777777" w:rsidR="00A33CAD" w:rsidRPr="00A33CAD" w:rsidRDefault="00A33CAD" w:rsidP="00A33CAD">
      <w:pPr>
        <w:keepNext/>
        <w:keepLines/>
        <w:spacing w:before="120" w:after="180"/>
        <w:ind w:left="1134" w:hanging="1134"/>
        <w:outlineLvl w:val="2"/>
        <w:rPr>
          <w:rFonts w:ascii="Arial" w:hAnsi="Arial"/>
          <w:sz w:val="28"/>
        </w:rPr>
      </w:pPr>
      <w:bookmarkStart w:id="34" w:name="_Toc100832263"/>
      <w:bookmarkStart w:id="35" w:name="_Toc52567357"/>
      <w:bookmarkStart w:id="36" w:name="_Toc46489004"/>
      <w:bookmarkStart w:id="37" w:name="_Toc12401780"/>
      <w:r w:rsidRPr="00A33CAD">
        <w:rPr>
          <w:rFonts w:ascii="Arial" w:hAnsi="Arial"/>
          <w:sz w:val="28"/>
        </w:rPr>
        <w:t>7.3.3</w:t>
      </w:r>
      <w:r w:rsidRPr="00A33CAD">
        <w:rPr>
          <w:rFonts w:ascii="Arial" w:hAnsi="Arial"/>
          <w:sz w:val="28"/>
        </w:rPr>
        <w:tab/>
        <w:t>MO-LR Service Support</w:t>
      </w:r>
      <w:bookmarkEnd w:id="34"/>
      <w:bookmarkEnd w:id="35"/>
      <w:bookmarkEnd w:id="36"/>
      <w:bookmarkEnd w:id="37"/>
    </w:p>
    <w:p w14:paraId="4283AB7B" w14:textId="77777777" w:rsidR="00A33CAD" w:rsidRPr="00A33CAD" w:rsidRDefault="00A33CAD" w:rsidP="00A33CAD">
      <w:pPr>
        <w:spacing w:after="180"/>
      </w:pPr>
      <w:r w:rsidRPr="00A33CAD">
        <w:t>Figure 7.3.3-1 shows the sequence of operations for an MO-LR service, starting at the point where an LCS Client in the UE or the user has requested some location service (e.g., retrieval of the UE's location or transfer of the UE's location to a third party).</w:t>
      </w:r>
    </w:p>
    <w:bookmarkStart w:id="38" w:name="_MON_1303159172"/>
    <w:bookmarkStart w:id="39" w:name="_MON_1315599289"/>
    <w:bookmarkStart w:id="40" w:name="_MON_1302041658"/>
    <w:bookmarkStart w:id="41" w:name="_MON_1303159023"/>
    <w:bookmarkStart w:id="42" w:name="_MON_1303159045"/>
    <w:bookmarkStart w:id="43" w:name="_MON_1303159100"/>
    <w:bookmarkEnd w:id="38"/>
    <w:bookmarkEnd w:id="39"/>
    <w:bookmarkEnd w:id="40"/>
    <w:bookmarkEnd w:id="41"/>
    <w:bookmarkEnd w:id="42"/>
    <w:bookmarkEnd w:id="43"/>
    <w:bookmarkStart w:id="44" w:name="_MON_1313923503"/>
    <w:bookmarkEnd w:id="44"/>
    <w:p w14:paraId="50565564" w14:textId="77777777" w:rsidR="00A33CAD" w:rsidRPr="00A33CAD" w:rsidRDefault="00A33CAD" w:rsidP="00A33CAD">
      <w:pPr>
        <w:keepNext/>
        <w:keepLines/>
        <w:spacing w:before="60" w:after="180"/>
        <w:jc w:val="center"/>
        <w:rPr>
          <w:rFonts w:ascii="Arial" w:hAnsi="Arial"/>
          <w:b/>
        </w:rPr>
      </w:pPr>
      <w:r w:rsidRPr="00A33CAD">
        <w:rPr>
          <w:rFonts w:ascii="Arial" w:hAnsi="Arial"/>
          <w:b/>
          <w:lang w:eastAsia="ja-JP"/>
        </w:rPr>
        <w:object w:dxaOrig="6192" w:dyaOrig="3600" w14:anchorId="2D5F2E9C">
          <v:shape id="_x0000_i1026" type="#_x0000_t75" style="width:309.8pt;height:180pt" o:ole="">
            <v:imagedata r:id="rId13" o:title=""/>
          </v:shape>
          <o:OLEObject Type="Embed" ProgID="Visio.Drawing.11" ShapeID="_x0000_i1026" DrawAspect="Content" ObjectID="_1712395344" r:id="rId14"/>
        </w:object>
      </w:r>
    </w:p>
    <w:p w14:paraId="1B16BE4A" w14:textId="77777777" w:rsidR="00A33CAD" w:rsidRPr="00A33CAD" w:rsidRDefault="00A33CAD" w:rsidP="00A33CAD">
      <w:pPr>
        <w:keepLines/>
        <w:spacing w:after="240"/>
        <w:jc w:val="center"/>
        <w:rPr>
          <w:rFonts w:ascii="Arial" w:hAnsi="Arial"/>
          <w:b/>
        </w:rPr>
      </w:pPr>
      <w:r w:rsidRPr="00A33CAD">
        <w:rPr>
          <w:rFonts w:ascii="Arial" w:hAnsi="Arial"/>
          <w:b/>
        </w:rPr>
        <w:t>Figure 7.3.3-1: UE Positioning Operations to support an MO-LR</w:t>
      </w:r>
    </w:p>
    <w:p w14:paraId="528ED202" w14:textId="77777777" w:rsidR="00A33CAD" w:rsidRPr="00A33CAD" w:rsidRDefault="00A33CAD" w:rsidP="00A33CAD">
      <w:pPr>
        <w:spacing w:after="180"/>
        <w:ind w:left="568" w:hanging="284"/>
      </w:pPr>
      <w:r w:rsidRPr="00A33CAD">
        <w:t>1.</w:t>
      </w:r>
      <w:r w:rsidRPr="00A33CAD">
        <w:tab/>
        <w:t>The UE sends an MO-LR location service request message included in a UL NAS TRANSPORT message as specified in TS 24.501 [29] to the AMF. The MO-LR location service request message may carry an LPP PDU to instigate one or more LPP procedures to transfer capabilities, request assistance data, and/or transfer location information and the scheduled location time, as described in TS 23.273 [35].</w:t>
      </w:r>
    </w:p>
    <w:p w14:paraId="4C1B6840" w14:textId="77777777" w:rsidR="00A33CAD" w:rsidRPr="00A33CAD" w:rsidRDefault="00A33CAD" w:rsidP="00A33CAD">
      <w:pPr>
        <w:spacing w:after="180"/>
        <w:ind w:left="568" w:hanging="284"/>
      </w:pPr>
      <w:r w:rsidRPr="00A33CAD">
        <w:t>2.</w:t>
      </w:r>
      <w:r w:rsidRPr="00A33CAD">
        <w:tab/>
        <w:t>The AMF invokes the Nlmf Determine Location Request service operation towards the LMF as specified in TS 29.572 [33] and includes any LPP PDU, the scheduled location time received in step 1 and the UE LPP positioning capabilities when available.</w:t>
      </w:r>
    </w:p>
    <w:p w14:paraId="527B2AB4" w14:textId="77777777" w:rsidR="00A33CAD" w:rsidRPr="00A33CAD" w:rsidRDefault="00A33CAD" w:rsidP="00A33CAD">
      <w:pPr>
        <w:spacing w:after="180"/>
        <w:ind w:left="568" w:hanging="284"/>
      </w:pPr>
      <w:r w:rsidRPr="00A33CAD">
        <w:t>3.</w:t>
      </w:r>
      <w:r w:rsidRPr="00A33CAD">
        <w:tab/>
        <w:t>The LMF may obtain location related information from the UE and/or from the serving NG-RAN node. In the former case or if an immediate response is needed to any LPP procedure instigated by the UE in step 1 (e.g., a request for assistance data), the LMF instigates one or more LPP procedures to transfer UE positioning capabilities, provide assistance data to the UE and/or obtain location information from the UE. The UE may also instigate further LPP procedures after the first LPP message is received from the LMF (e.g., to request assistance data or to request further assistance data). If a scheduled location time is provided in step 2, the LMF may schedule location measurements by the UE to occur at or near to the scheduled location time. The LPP procedures to transfer UE positioning capabilities may be skipped if the LMF already obtained the UE positioning capabilities from the AMF in step 2.</w:t>
      </w:r>
    </w:p>
    <w:p w14:paraId="5A2211DB" w14:textId="77777777" w:rsidR="00A33CAD" w:rsidRPr="00A33CAD" w:rsidRDefault="00A33CAD" w:rsidP="00A33CAD">
      <w:pPr>
        <w:spacing w:after="180"/>
        <w:ind w:left="568" w:hanging="284"/>
      </w:pPr>
      <w:r w:rsidRPr="00A33CAD">
        <w:t>4.</w:t>
      </w:r>
      <w:r w:rsidRPr="00A33CAD">
        <w:tab/>
        <w:t>If the LMF needs location related information for the UE from the NG-RAN, the LMF instigates one or more NRPPa procedures. Step 4 may also precede step 3 or occur in parallel with it. If a scheduled location time is provided in step 1, the LMF may schedule location measurements by the NG-RAN to occur at or near to the scheduled location time.</w:t>
      </w:r>
    </w:p>
    <w:p w14:paraId="6813EFEC" w14:textId="77777777" w:rsidR="00A33CAD" w:rsidRPr="00A33CAD" w:rsidRDefault="00A33CAD" w:rsidP="00A33CAD">
      <w:pPr>
        <w:spacing w:after="180"/>
        <w:ind w:left="568" w:hanging="284"/>
      </w:pPr>
      <w:r w:rsidRPr="00A33CAD">
        <w:t>5.</w:t>
      </w:r>
      <w:r w:rsidRPr="00A33CAD">
        <w:tab/>
        <w:t>The LMF invokes the Nlmf Determine Location Response service operation towards the AMF as specified in TS 29.572 [33] which includes any location estimate</w:t>
      </w:r>
      <w:r w:rsidRPr="00A33CAD">
        <w:rPr>
          <w:highlight w:val="yellow"/>
        </w:rPr>
        <w:t>, protection level and achievable target integrity risk</w:t>
      </w:r>
      <w:r w:rsidRPr="00A33CAD">
        <w:t xml:space="preserve"> obtained as a result of steps 3 and 4. The LMF may also return the LPP UE capabilities as described in TS 23.273 [35].</w:t>
      </w:r>
    </w:p>
    <w:p w14:paraId="5FE82A1E" w14:textId="77777777" w:rsidR="00A33CAD" w:rsidRPr="00A33CAD" w:rsidRDefault="00A33CAD" w:rsidP="00A33CAD">
      <w:pPr>
        <w:spacing w:after="180"/>
        <w:ind w:left="568" w:hanging="284"/>
      </w:pPr>
      <w:r w:rsidRPr="00A33CAD">
        <w:t>6.</w:t>
      </w:r>
      <w:r w:rsidRPr="00A33CAD">
        <w:tab/>
        <w:t>If the UE requested location transfer to a third party the AMF transfers the location</w:t>
      </w:r>
      <w:r w:rsidRPr="00A33CAD">
        <w:rPr>
          <w:highlight w:val="yellow"/>
        </w:rPr>
        <w:t>, protection level and achievable target integrity risk</w:t>
      </w:r>
      <w:r w:rsidRPr="00A33CAD">
        <w:t xml:space="preserve"> received from the LMF in step 5 to the third party as defined in TS 23.273 [35].</w:t>
      </w:r>
    </w:p>
    <w:p w14:paraId="68A4A4A0" w14:textId="77777777" w:rsidR="00A33CAD" w:rsidRPr="00A33CAD" w:rsidRDefault="00A33CAD" w:rsidP="00A33CAD">
      <w:pPr>
        <w:spacing w:after="180"/>
        <w:ind w:left="568" w:hanging="284"/>
      </w:pPr>
      <w:r w:rsidRPr="00A33CAD">
        <w:t>7.</w:t>
      </w:r>
      <w:r w:rsidRPr="00A33CAD">
        <w:tab/>
        <w:t>The AMF sends an MO-LR location service response message included in a DL NAS TRANSPORT message as specified in TS 24.501 [29].</w:t>
      </w:r>
    </w:p>
    <w:p w14:paraId="0F4C8544" w14:textId="77777777" w:rsidR="00A33CAD" w:rsidRPr="00A33CAD" w:rsidRDefault="00A33CAD" w:rsidP="00A33CAD">
      <w:pPr>
        <w:keepNext/>
        <w:keepLines/>
        <w:spacing w:before="120" w:after="180"/>
        <w:ind w:left="1134" w:hanging="1134"/>
        <w:outlineLvl w:val="2"/>
        <w:rPr>
          <w:rFonts w:ascii="Arial" w:hAnsi="Arial"/>
          <w:sz w:val="28"/>
        </w:rPr>
      </w:pPr>
      <w:bookmarkStart w:id="45" w:name="_Toc100832264"/>
      <w:r w:rsidRPr="00A33CAD">
        <w:rPr>
          <w:rFonts w:ascii="Arial" w:hAnsi="Arial"/>
          <w:sz w:val="28"/>
        </w:rPr>
        <w:lastRenderedPageBreak/>
        <w:t>7.3.4</w:t>
      </w:r>
      <w:r w:rsidRPr="00A33CAD">
        <w:rPr>
          <w:rFonts w:ascii="Arial" w:hAnsi="Arial"/>
          <w:sz w:val="28"/>
        </w:rPr>
        <w:tab/>
        <w:t>Deferred MT-LR Event Reporting Support</w:t>
      </w:r>
      <w:bookmarkEnd w:id="45"/>
    </w:p>
    <w:p w14:paraId="05A12DD7" w14:textId="77777777" w:rsidR="00A33CAD" w:rsidRPr="00A33CAD" w:rsidRDefault="00A33CAD" w:rsidP="00A33CAD">
      <w:pPr>
        <w:spacing w:after="180"/>
      </w:pPr>
      <w:r w:rsidRPr="00A33CAD">
        <w:t>Figure 7.3.4-1 shows the sequence of operations for an Deferred MT-LR Event Reporting starting at the point where the UE reports an event to the LMF.</w:t>
      </w:r>
    </w:p>
    <w:p w14:paraId="1368440F" w14:textId="77777777" w:rsidR="00A33CAD" w:rsidRPr="00A33CAD" w:rsidRDefault="00A33CAD" w:rsidP="00A33CAD">
      <w:pPr>
        <w:keepNext/>
        <w:keepLines/>
        <w:spacing w:before="60" w:after="180"/>
        <w:jc w:val="center"/>
        <w:rPr>
          <w:rFonts w:ascii="Arial" w:hAnsi="Arial"/>
          <w:b/>
        </w:rPr>
      </w:pPr>
      <w:r w:rsidRPr="00A33CAD">
        <w:rPr>
          <w:rFonts w:ascii="Arial" w:hAnsi="Arial"/>
          <w:b/>
          <w:lang w:eastAsia="ja-JP"/>
        </w:rPr>
        <w:object w:dxaOrig="6348" w:dyaOrig="3168" w14:anchorId="378BE379">
          <v:shape id="_x0000_i1027" type="#_x0000_t75" style="width:317.45pt;height:158.2pt" o:ole="">
            <v:imagedata r:id="rId15" o:title=""/>
          </v:shape>
          <o:OLEObject Type="Embed" ProgID="Visio.Drawing.11" ShapeID="_x0000_i1027" DrawAspect="Content" ObjectID="_1712395345" r:id="rId16"/>
        </w:object>
      </w:r>
    </w:p>
    <w:p w14:paraId="2207BAB5" w14:textId="77777777" w:rsidR="00A33CAD" w:rsidRPr="00A33CAD" w:rsidRDefault="00A33CAD" w:rsidP="00A33CAD">
      <w:pPr>
        <w:keepLines/>
        <w:spacing w:after="240"/>
        <w:jc w:val="center"/>
        <w:rPr>
          <w:rFonts w:ascii="Arial" w:hAnsi="Arial"/>
          <w:b/>
        </w:rPr>
      </w:pPr>
      <w:r w:rsidRPr="00A33CAD">
        <w:rPr>
          <w:rFonts w:ascii="Arial" w:hAnsi="Arial"/>
          <w:b/>
        </w:rPr>
        <w:t>Figure 7.3.4-1: UE Positioning Operations to support a Deferred MT-LR</w:t>
      </w:r>
    </w:p>
    <w:p w14:paraId="1D9281A1" w14:textId="77777777" w:rsidR="00A33CAD" w:rsidRPr="00A33CAD" w:rsidRDefault="00A33CAD" w:rsidP="00A33CAD">
      <w:pPr>
        <w:spacing w:after="180"/>
        <w:ind w:left="568" w:hanging="284"/>
      </w:pPr>
      <w:r w:rsidRPr="00A33CAD">
        <w:t>1.</w:t>
      </w:r>
      <w:r w:rsidRPr="00A33CAD">
        <w:tab/>
        <w:t>The UE sends a supplementary services event report message to the LMF as described in TS 24.571 [41] which is transferred via the serving AMF and is delivered to the LMF using an Namf_Communication_N1MessageNotify service operation. The event report may indicate the type of event being reported and may include an embedded positioning message which includes any location measurements or location estimate</w:t>
      </w:r>
      <w:r w:rsidRPr="00A33CAD">
        <w:rPr>
          <w:highlight w:val="yellow"/>
        </w:rPr>
        <w:t>, protection level and achievable target integrity risk.</w:t>
      </w:r>
    </w:p>
    <w:p w14:paraId="1883C918" w14:textId="77777777" w:rsidR="00A33CAD" w:rsidRPr="00A33CAD" w:rsidRDefault="00A33CAD" w:rsidP="00A33CAD">
      <w:pPr>
        <w:spacing w:after="180"/>
        <w:ind w:left="568" w:hanging="284"/>
      </w:pPr>
      <w:r w:rsidRPr="00A33CAD">
        <w:t>2.</w:t>
      </w:r>
      <w:r w:rsidRPr="00A33CAD">
        <w:tab/>
        <w:t>If LMF determines no positioning procedure is needed, steps 3 and 4 are skipped.</w:t>
      </w:r>
    </w:p>
    <w:p w14:paraId="12C65BC3" w14:textId="77777777" w:rsidR="00A33CAD" w:rsidRPr="00A33CAD" w:rsidRDefault="00A33CAD" w:rsidP="00A33CAD">
      <w:pPr>
        <w:spacing w:after="180"/>
        <w:ind w:left="568" w:hanging="284"/>
      </w:pPr>
      <w:r w:rsidRPr="00A33CAD">
        <w:t>3.</w:t>
      </w:r>
      <w:r w:rsidRPr="00A33CAD">
        <w:tab/>
        <w:t>The LMF may utilize any location information received in step 1. The LMF may also retrieve location related information from the UE and/or from the serving NG-RAN Node. In the former case, the LMF instigates one or more LPP procedures to provide assistance data to the UE and/or obtain location information from the UE. The UE may also instigate one or more LPP procedures after the first LPP message is received from the LMF (e.g., to request assistance data from the LMF).</w:t>
      </w:r>
    </w:p>
    <w:p w14:paraId="5EBB0A99" w14:textId="77777777" w:rsidR="00A33CAD" w:rsidRPr="00A33CAD" w:rsidRDefault="00A33CAD" w:rsidP="00A33CAD">
      <w:pPr>
        <w:spacing w:after="180"/>
        <w:ind w:left="568" w:hanging="284"/>
      </w:pPr>
      <w:r w:rsidRPr="00A33CAD">
        <w:t>4.</w:t>
      </w:r>
      <w:r w:rsidRPr="00A33CAD">
        <w:tab/>
        <w:t>If the LMF needs location related information for the UE from the NG-RAN, the LMF instigates one or more NRPPa procedures. Step 3 is not necessarily serialised with step 2; if the LMF and NG-RAN Node have the information to determine what procedures need to take place for the location service, step 3 could precede or overlap with step 2.</w:t>
      </w:r>
    </w:p>
    <w:p w14:paraId="489289B7" w14:textId="77777777" w:rsidR="00A33CAD" w:rsidRPr="00A33CAD" w:rsidRDefault="00A33CAD" w:rsidP="00A33CAD">
      <w:pPr>
        <w:spacing w:after="180"/>
        <w:ind w:left="568" w:hanging="284"/>
      </w:pPr>
      <w:r w:rsidRPr="00A33CAD">
        <w:t>5.</w:t>
      </w:r>
      <w:r w:rsidRPr="00A33CAD">
        <w:tab/>
        <w:t>The LMF invokes an Nlmf_Location_EventNotify service operation towards the GMLC with an indication of the type of event being reported and any location estimate</w:t>
      </w:r>
      <w:r w:rsidRPr="00A33CAD">
        <w:rPr>
          <w:highlight w:val="yellow"/>
        </w:rPr>
        <w:t>, protection level and achievable target integrity risk</w:t>
      </w:r>
      <w:r w:rsidRPr="00A33CAD">
        <w:t xml:space="preserve"> obtained as a result of steps 2 and 3.</w:t>
      </w:r>
    </w:p>
    <w:p w14:paraId="56F0B49F" w14:textId="77777777" w:rsidR="00A33CAD" w:rsidRPr="00A33CAD" w:rsidRDefault="00A33CAD" w:rsidP="00A33CAD"/>
    <w:sectPr w:rsidR="00A33CAD" w:rsidRPr="00A33CAD">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ABFC8F" w14:textId="77777777" w:rsidR="007165ED" w:rsidRDefault="007165ED">
      <w:r>
        <w:separator/>
      </w:r>
    </w:p>
  </w:endnote>
  <w:endnote w:type="continuationSeparator" w:id="0">
    <w:p w14:paraId="19D3E55F" w14:textId="77777777" w:rsidR="007165ED" w:rsidRDefault="007165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altName w:val="Yu Gothic"/>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roman"/>
    <w:notTrueType/>
    <w:pitch w:val="fixed"/>
    <w:sig w:usb0="00000000" w:usb1="08070000" w:usb2="00000010" w:usb3="00000000" w:csb0="0002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A29DBE" w14:textId="77777777" w:rsidR="007165ED" w:rsidRDefault="007165ED">
      <w:r>
        <w:separator/>
      </w:r>
    </w:p>
  </w:footnote>
  <w:footnote w:type="continuationSeparator" w:id="0">
    <w:p w14:paraId="559DC7E5" w14:textId="77777777" w:rsidR="007165ED" w:rsidRDefault="007165ED">
      <w:r>
        <w:continuationSeparator/>
      </w:r>
    </w:p>
  </w:footnote>
  <w:footnote w:id="1">
    <w:p w14:paraId="357C64A6" w14:textId="77777777" w:rsidR="001B703D" w:rsidRPr="00592226" w:rsidRDefault="001B703D" w:rsidP="001B703D">
      <w:pPr>
        <w:pStyle w:val="af7"/>
      </w:pPr>
      <w:r w:rsidRPr="00592226">
        <w:rPr>
          <w:rStyle w:val="af3"/>
        </w:rPr>
        <w:footnoteRef/>
      </w:r>
      <w:r w:rsidRPr="00592226">
        <w:t xml:space="preserve"> NOTE: If the lane-level requirement was simply specified by the accuracy estimate (e.g., &lt;1.5m at the 95th percentile), 5% of the estimated positions may still be impacted by feared events which far exceed</w:t>
      </w:r>
      <w:r>
        <w:t>s</w:t>
      </w:r>
      <w:r w:rsidRPr="00592226">
        <w:t xml:space="preserve"> the required AL, potentially leading to an integrity event. Positioning integrity KPIs are instead used to define probabilities of failure over a given period of time rather than relying on the combined statistical distribution of the estimated positions (which are potentially contaminated by fault and fault-free events that go undetected). The positioning integrity methodologies allow an positioning integrity risk to be allocated based on the probability of occurrence for each feared event, and then quantified as a contribution to the total TIR. This ensures only the integrity-validated positions are included in the positioning estimate, meaning the nominal accuracy should be easily achieved.</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0724E3"/>
    <w:multiLevelType w:val="multilevel"/>
    <w:tmpl w:val="7DB878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80B3939"/>
    <w:multiLevelType w:val="hybridMultilevel"/>
    <w:tmpl w:val="1924FED0"/>
    <w:lvl w:ilvl="0" w:tplc="853E15A8">
      <w:start w:val="1"/>
      <w:numFmt w:val="bullet"/>
      <w:lvlText w:val="-"/>
      <w:lvlJc w:val="left"/>
      <w:pPr>
        <w:ind w:left="360" w:hanging="360"/>
      </w:pPr>
      <w:rPr>
        <w:rFonts w:ascii="Arial" w:eastAsia="Yu Mincho" w:hAnsi="Arial" w:cs="Arial" w:hint="default"/>
      </w:rPr>
    </w:lvl>
    <w:lvl w:ilvl="1" w:tplc="04090001">
      <w:start w:val="1"/>
      <w:numFmt w:val="bullet"/>
      <w:lvlText w:val=""/>
      <w:lvlJc w:val="left"/>
      <w:pPr>
        <w:ind w:left="840" w:hanging="420"/>
      </w:pPr>
      <w:rPr>
        <w:rFonts w:ascii="Symbol" w:hAnsi="Symbol"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A5B67A4"/>
    <w:multiLevelType w:val="hybridMultilevel"/>
    <w:tmpl w:val="8886FDA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B2114BF"/>
    <w:multiLevelType w:val="hybridMultilevel"/>
    <w:tmpl w:val="252672DC"/>
    <w:lvl w:ilvl="0" w:tplc="04090001">
      <w:start w:val="1"/>
      <w:numFmt w:val="bullet"/>
      <w:lvlText w:val=""/>
      <w:lvlJc w:val="left"/>
      <w:pPr>
        <w:tabs>
          <w:tab w:val="num" w:pos="720"/>
        </w:tabs>
        <w:ind w:left="720" w:hanging="360"/>
      </w:pPr>
      <w:rPr>
        <w:rFonts w:ascii="Symbol" w:hAnsi="Symbol" w:hint="default"/>
      </w:rPr>
    </w:lvl>
    <w:lvl w:ilvl="1" w:tplc="230AA63E">
      <w:start w:val="238"/>
      <w:numFmt w:val="bullet"/>
      <w:lvlText w:val="•"/>
      <w:lvlJc w:val="left"/>
      <w:pPr>
        <w:tabs>
          <w:tab w:val="num" w:pos="1440"/>
        </w:tabs>
        <w:ind w:left="1440" w:hanging="360"/>
      </w:pPr>
      <w:rPr>
        <w:rFonts w:ascii="Arial" w:hAnsi="Arial" w:hint="default"/>
      </w:rPr>
    </w:lvl>
    <w:lvl w:ilvl="2" w:tplc="0FC8BC44" w:tentative="1">
      <w:start w:val="1"/>
      <w:numFmt w:val="bullet"/>
      <w:lvlText w:val="•"/>
      <w:lvlJc w:val="left"/>
      <w:pPr>
        <w:tabs>
          <w:tab w:val="num" w:pos="2160"/>
        </w:tabs>
        <w:ind w:left="2160" w:hanging="360"/>
      </w:pPr>
      <w:rPr>
        <w:rFonts w:ascii="Arial" w:hAnsi="Arial" w:hint="default"/>
      </w:rPr>
    </w:lvl>
    <w:lvl w:ilvl="3" w:tplc="06788094" w:tentative="1">
      <w:start w:val="1"/>
      <w:numFmt w:val="bullet"/>
      <w:lvlText w:val="•"/>
      <w:lvlJc w:val="left"/>
      <w:pPr>
        <w:tabs>
          <w:tab w:val="num" w:pos="2880"/>
        </w:tabs>
        <w:ind w:left="2880" w:hanging="360"/>
      </w:pPr>
      <w:rPr>
        <w:rFonts w:ascii="Arial" w:hAnsi="Arial" w:hint="default"/>
      </w:rPr>
    </w:lvl>
    <w:lvl w:ilvl="4" w:tplc="22568602" w:tentative="1">
      <w:start w:val="1"/>
      <w:numFmt w:val="bullet"/>
      <w:lvlText w:val="•"/>
      <w:lvlJc w:val="left"/>
      <w:pPr>
        <w:tabs>
          <w:tab w:val="num" w:pos="3600"/>
        </w:tabs>
        <w:ind w:left="3600" w:hanging="360"/>
      </w:pPr>
      <w:rPr>
        <w:rFonts w:ascii="Arial" w:hAnsi="Arial" w:hint="default"/>
      </w:rPr>
    </w:lvl>
    <w:lvl w:ilvl="5" w:tplc="5ECC5202" w:tentative="1">
      <w:start w:val="1"/>
      <w:numFmt w:val="bullet"/>
      <w:lvlText w:val="•"/>
      <w:lvlJc w:val="left"/>
      <w:pPr>
        <w:tabs>
          <w:tab w:val="num" w:pos="4320"/>
        </w:tabs>
        <w:ind w:left="4320" w:hanging="360"/>
      </w:pPr>
      <w:rPr>
        <w:rFonts w:ascii="Arial" w:hAnsi="Arial" w:hint="default"/>
      </w:rPr>
    </w:lvl>
    <w:lvl w:ilvl="6" w:tplc="8EE8E79E" w:tentative="1">
      <w:start w:val="1"/>
      <w:numFmt w:val="bullet"/>
      <w:lvlText w:val="•"/>
      <w:lvlJc w:val="left"/>
      <w:pPr>
        <w:tabs>
          <w:tab w:val="num" w:pos="5040"/>
        </w:tabs>
        <w:ind w:left="5040" w:hanging="360"/>
      </w:pPr>
      <w:rPr>
        <w:rFonts w:ascii="Arial" w:hAnsi="Arial" w:hint="default"/>
      </w:rPr>
    </w:lvl>
    <w:lvl w:ilvl="7" w:tplc="292E3824" w:tentative="1">
      <w:start w:val="1"/>
      <w:numFmt w:val="bullet"/>
      <w:lvlText w:val="•"/>
      <w:lvlJc w:val="left"/>
      <w:pPr>
        <w:tabs>
          <w:tab w:val="num" w:pos="5760"/>
        </w:tabs>
        <w:ind w:left="5760" w:hanging="360"/>
      </w:pPr>
      <w:rPr>
        <w:rFonts w:ascii="Arial" w:hAnsi="Arial" w:hint="default"/>
      </w:rPr>
    </w:lvl>
    <w:lvl w:ilvl="8" w:tplc="171CF37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C82035E"/>
    <w:multiLevelType w:val="hybridMultilevel"/>
    <w:tmpl w:val="02B883D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FDD0607"/>
    <w:multiLevelType w:val="hybridMultilevel"/>
    <w:tmpl w:val="BBDECC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1323588"/>
    <w:multiLevelType w:val="hybridMultilevel"/>
    <w:tmpl w:val="5F66405E"/>
    <w:lvl w:ilvl="0" w:tplc="853E15A8">
      <w:start w:val="1"/>
      <w:numFmt w:val="bullet"/>
      <w:lvlText w:val="-"/>
      <w:lvlJc w:val="left"/>
      <w:pPr>
        <w:ind w:left="360" w:hanging="360"/>
      </w:pPr>
      <w:rPr>
        <w:rFonts w:ascii="Arial" w:eastAsia="Yu Mincho" w:hAnsi="Arial" w:cs="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214E7144"/>
    <w:multiLevelType w:val="hybridMultilevel"/>
    <w:tmpl w:val="18F60E2E"/>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26C57E9A"/>
    <w:multiLevelType w:val="hybridMultilevel"/>
    <w:tmpl w:val="4D10B3A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2872540E"/>
    <w:multiLevelType w:val="multilevel"/>
    <w:tmpl w:val="CBCE4E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31762DF7"/>
    <w:multiLevelType w:val="hybridMultilevel"/>
    <w:tmpl w:val="B358CAF6"/>
    <w:lvl w:ilvl="0" w:tplc="24809BDC">
      <w:start w:val="1"/>
      <w:numFmt w:val="bullet"/>
      <w:lvlText w:val="-"/>
      <w:lvlJc w:val="left"/>
      <w:pPr>
        <w:ind w:left="3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34804D30"/>
    <w:multiLevelType w:val="hybridMultilevel"/>
    <w:tmpl w:val="E780AB4E"/>
    <w:lvl w:ilvl="0" w:tplc="2AFEBC2A">
      <w:start w:val="1"/>
      <w:numFmt w:val="decimal"/>
      <w:lvlText w:val="%1)"/>
      <w:lvlJc w:val="left"/>
      <w:pPr>
        <w:ind w:left="420" w:hanging="420"/>
      </w:pPr>
      <w:rPr>
        <w:rFont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35CB75AD"/>
    <w:multiLevelType w:val="hybridMultilevel"/>
    <w:tmpl w:val="830E1FBA"/>
    <w:lvl w:ilvl="0" w:tplc="9E4C4CF4">
      <w:start w:val="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B975827"/>
    <w:multiLevelType w:val="multilevel"/>
    <w:tmpl w:val="4096056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5" w15:restartNumberingAfterBreak="0">
    <w:nsid w:val="41D01BAD"/>
    <w:multiLevelType w:val="multilevel"/>
    <w:tmpl w:val="41D01BAD"/>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6" w15:restartNumberingAfterBreak="0">
    <w:nsid w:val="42C4092A"/>
    <w:multiLevelType w:val="hybridMultilevel"/>
    <w:tmpl w:val="8C82C89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4832116"/>
    <w:multiLevelType w:val="hybridMultilevel"/>
    <w:tmpl w:val="D3F284AC"/>
    <w:lvl w:ilvl="0" w:tplc="F56A683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6945A78"/>
    <w:multiLevelType w:val="hybridMultilevel"/>
    <w:tmpl w:val="03D8DB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7E42A98"/>
    <w:multiLevelType w:val="hybridMultilevel"/>
    <w:tmpl w:val="62721FE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48B510FE"/>
    <w:multiLevelType w:val="hybridMultilevel"/>
    <w:tmpl w:val="4208B9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950538E"/>
    <w:multiLevelType w:val="hybridMultilevel"/>
    <w:tmpl w:val="0764E7C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4BD61B9E"/>
    <w:multiLevelType w:val="hybridMultilevel"/>
    <w:tmpl w:val="8B18784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4EDA57AC"/>
    <w:multiLevelType w:val="hybridMultilevel"/>
    <w:tmpl w:val="53ECEBDA"/>
    <w:lvl w:ilvl="0" w:tplc="BC5CCFE0">
      <w:start w:val="1"/>
      <w:numFmt w:val="bullet"/>
      <w:lvlText w:val="-"/>
      <w:lvlJc w:val="left"/>
      <w:pPr>
        <w:ind w:left="3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4F3D23B4"/>
    <w:multiLevelType w:val="hybridMultilevel"/>
    <w:tmpl w:val="03760156"/>
    <w:lvl w:ilvl="0" w:tplc="41C223C8">
      <w:start w:val="1"/>
      <w:numFmt w:val="bullet"/>
      <w:lvlText w:val=""/>
      <w:lvlJc w:val="left"/>
      <w:pPr>
        <w:ind w:left="3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524E434D"/>
    <w:multiLevelType w:val="hybridMultilevel"/>
    <w:tmpl w:val="4F04A92E"/>
    <w:lvl w:ilvl="0" w:tplc="7D8E4890">
      <w:start w:val="1"/>
      <w:numFmt w:val="bullet"/>
      <w:lvlText w:val="•"/>
      <w:lvlJc w:val="left"/>
      <w:pPr>
        <w:tabs>
          <w:tab w:val="num" w:pos="720"/>
        </w:tabs>
        <w:ind w:left="720" w:hanging="360"/>
      </w:pPr>
      <w:rPr>
        <w:rFonts w:ascii="Arial" w:hAnsi="Arial" w:hint="default"/>
      </w:rPr>
    </w:lvl>
    <w:lvl w:ilvl="1" w:tplc="230AA63E">
      <w:start w:val="238"/>
      <w:numFmt w:val="bullet"/>
      <w:lvlText w:val="•"/>
      <w:lvlJc w:val="left"/>
      <w:pPr>
        <w:tabs>
          <w:tab w:val="num" w:pos="1440"/>
        </w:tabs>
        <w:ind w:left="1440" w:hanging="360"/>
      </w:pPr>
      <w:rPr>
        <w:rFonts w:ascii="Arial" w:hAnsi="Arial" w:hint="default"/>
      </w:rPr>
    </w:lvl>
    <w:lvl w:ilvl="2" w:tplc="0FC8BC44" w:tentative="1">
      <w:start w:val="1"/>
      <w:numFmt w:val="bullet"/>
      <w:lvlText w:val="•"/>
      <w:lvlJc w:val="left"/>
      <w:pPr>
        <w:tabs>
          <w:tab w:val="num" w:pos="2160"/>
        </w:tabs>
        <w:ind w:left="2160" w:hanging="360"/>
      </w:pPr>
      <w:rPr>
        <w:rFonts w:ascii="Arial" w:hAnsi="Arial" w:hint="default"/>
      </w:rPr>
    </w:lvl>
    <w:lvl w:ilvl="3" w:tplc="06788094" w:tentative="1">
      <w:start w:val="1"/>
      <w:numFmt w:val="bullet"/>
      <w:lvlText w:val="•"/>
      <w:lvlJc w:val="left"/>
      <w:pPr>
        <w:tabs>
          <w:tab w:val="num" w:pos="2880"/>
        </w:tabs>
        <w:ind w:left="2880" w:hanging="360"/>
      </w:pPr>
      <w:rPr>
        <w:rFonts w:ascii="Arial" w:hAnsi="Arial" w:hint="default"/>
      </w:rPr>
    </w:lvl>
    <w:lvl w:ilvl="4" w:tplc="22568602" w:tentative="1">
      <w:start w:val="1"/>
      <w:numFmt w:val="bullet"/>
      <w:lvlText w:val="•"/>
      <w:lvlJc w:val="left"/>
      <w:pPr>
        <w:tabs>
          <w:tab w:val="num" w:pos="3600"/>
        </w:tabs>
        <w:ind w:left="3600" w:hanging="360"/>
      </w:pPr>
      <w:rPr>
        <w:rFonts w:ascii="Arial" w:hAnsi="Arial" w:hint="default"/>
      </w:rPr>
    </w:lvl>
    <w:lvl w:ilvl="5" w:tplc="5ECC5202" w:tentative="1">
      <w:start w:val="1"/>
      <w:numFmt w:val="bullet"/>
      <w:lvlText w:val="•"/>
      <w:lvlJc w:val="left"/>
      <w:pPr>
        <w:tabs>
          <w:tab w:val="num" w:pos="4320"/>
        </w:tabs>
        <w:ind w:left="4320" w:hanging="360"/>
      </w:pPr>
      <w:rPr>
        <w:rFonts w:ascii="Arial" w:hAnsi="Arial" w:hint="default"/>
      </w:rPr>
    </w:lvl>
    <w:lvl w:ilvl="6" w:tplc="8EE8E79E" w:tentative="1">
      <w:start w:val="1"/>
      <w:numFmt w:val="bullet"/>
      <w:lvlText w:val="•"/>
      <w:lvlJc w:val="left"/>
      <w:pPr>
        <w:tabs>
          <w:tab w:val="num" w:pos="5040"/>
        </w:tabs>
        <w:ind w:left="5040" w:hanging="360"/>
      </w:pPr>
      <w:rPr>
        <w:rFonts w:ascii="Arial" w:hAnsi="Arial" w:hint="default"/>
      </w:rPr>
    </w:lvl>
    <w:lvl w:ilvl="7" w:tplc="292E3824" w:tentative="1">
      <w:start w:val="1"/>
      <w:numFmt w:val="bullet"/>
      <w:lvlText w:val="•"/>
      <w:lvlJc w:val="left"/>
      <w:pPr>
        <w:tabs>
          <w:tab w:val="num" w:pos="5760"/>
        </w:tabs>
        <w:ind w:left="5760" w:hanging="360"/>
      </w:pPr>
      <w:rPr>
        <w:rFonts w:ascii="Arial" w:hAnsi="Arial" w:hint="default"/>
      </w:rPr>
    </w:lvl>
    <w:lvl w:ilvl="8" w:tplc="171CF378"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5154D78"/>
    <w:multiLevelType w:val="hybridMultilevel"/>
    <w:tmpl w:val="784C713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6A70A74"/>
    <w:multiLevelType w:val="hybridMultilevel"/>
    <w:tmpl w:val="7B96D08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6FC50D5"/>
    <w:multiLevelType w:val="hybridMultilevel"/>
    <w:tmpl w:val="C9B48D9E"/>
    <w:lvl w:ilvl="0" w:tplc="04090003">
      <w:start w:val="1"/>
      <w:numFmt w:val="bullet"/>
      <w:lvlText w:val=""/>
      <w:lvlJc w:val="left"/>
      <w:pPr>
        <w:ind w:left="780" w:hanging="36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9" w15:restartNumberingAfterBreak="0">
    <w:nsid w:val="5A1E695F"/>
    <w:multiLevelType w:val="hybridMultilevel"/>
    <w:tmpl w:val="55366F82"/>
    <w:lvl w:ilvl="0" w:tplc="04090001">
      <w:start w:val="1"/>
      <w:numFmt w:val="bullet"/>
      <w:lvlText w:val=""/>
      <w:lvlJc w:val="left"/>
      <w:pPr>
        <w:tabs>
          <w:tab w:val="num" w:pos="1080"/>
        </w:tabs>
        <w:ind w:left="1080" w:hanging="360"/>
      </w:pPr>
      <w:rPr>
        <w:rFonts w:ascii="Symbol" w:hAnsi="Symbol" w:hint="default"/>
      </w:rPr>
    </w:lvl>
    <w:lvl w:ilvl="1" w:tplc="92568CC8">
      <w:start w:val="1"/>
      <w:numFmt w:val="bullet"/>
      <w:lvlText w:val="•"/>
      <w:lvlJc w:val="left"/>
      <w:pPr>
        <w:tabs>
          <w:tab w:val="num" w:pos="1800"/>
        </w:tabs>
        <w:ind w:left="1800" w:hanging="360"/>
      </w:pPr>
      <w:rPr>
        <w:rFonts w:ascii="Arial" w:hAnsi="Arial" w:hint="default"/>
      </w:rPr>
    </w:lvl>
    <w:lvl w:ilvl="2" w:tplc="5F5A99AE" w:tentative="1">
      <w:start w:val="1"/>
      <w:numFmt w:val="bullet"/>
      <w:lvlText w:val="•"/>
      <w:lvlJc w:val="left"/>
      <w:pPr>
        <w:tabs>
          <w:tab w:val="num" w:pos="2520"/>
        </w:tabs>
        <w:ind w:left="2520" w:hanging="360"/>
      </w:pPr>
      <w:rPr>
        <w:rFonts w:ascii="Arial" w:hAnsi="Arial" w:hint="default"/>
      </w:rPr>
    </w:lvl>
    <w:lvl w:ilvl="3" w:tplc="2DFEB9DC" w:tentative="1">
      <w:start w:val="1"/>
      <w:numFmt w:val="bullet"/>
      <w:lvlText w:val="•"/>
      <w:lvlJc w:val="left"/>
      <w:pPr>
        <w:tabs>
          <w:tab w:val="num" w:pos="3240"/>
        </w:tabs>
        <w:ind w:left="3240" w:hanging="360"/>
      </w:pPr>
      <w:rPr>
        <w:rFonts w:ascii="Arial" w:hAnsi="Arial" w:hint="default"/>
      </w:rPr>
    </w:lvl>
    <w:lvl w:ilvl="4" w:tplc="B6B48596" w:tentative="1">
      <w:start w:val="1"/>
      <w:numFmt w:val="bullet"/>
      <w:lvlText w:val="•"/>
      <w:lvlJc w:val="left"/>
      <w:pPr>
        <w:tabs>
          <w:tab w:val="num" w:pos="3960"/>
        </w:tabs>
        <w:ind w:left="3960" w:hanging="360"/>
      </w:pPr>
      <w:rPr>
        <w:rFonts w:ascii="Arial" w:hAnsi="Arial" w:hint="default"/>
      </w:rPr>
    </w:lvl>
    <w:lvl w:ilvl="5" w:tplc="71FC6B62" w:tentative="1">
      <w:start w:val="1"/>
      <w:numFmt w:val="bullet"/>
      <w:lvlText w:val="•"/>
      <w:lvlJc w:val="left"/>
      <w:pPr>
        <w:tabs>
          <w:tab w:val="num" w:pos="4680"/>
        </w:tabs>
        <w:ind w:left="4680" w:hanging="360"/>
      </w:pPr>
      <w:rPr>
        <w:rFonts w:ascii="Arial" w:hAnsi="Arial" w:hint="default"/>
      </w:rPr>
    </w:lvl>
    <w:lvl w:ilvl="6" w:tplc="1F16D60C" w:tentative="1">
      <w:start w:val="1"/>
      <w:numFmt w:val="bullet"/>
      <w:lvlText w:val="•"/>
      <w:lvlJc w:val="left"/>
      <w:pPr>
        <w:tabs>
          <w:tab w:val="num" w:pos="5400"/>
        </w:tabs>
        <w:ind w:left="5400" w:hanging="360"/>
      </w:pPr>
      <w:rPr>
        <w:rFonts w:ascii="Arial" w:hAnsi="Arial" w:hint="default"/>
      </w:rPr>
    </w:lvl>
    <w:lvl w:ilvl="7" w:tplc="08B213E0" w:tentative="1">
      <w:start w:val="1"/>
      <w:numFmt w:val="bullet"/>
      <w:lvlText w:val="•"/>
      <w:lvlJc w:val="left"/>
      <w:pPr>
        <w:tabs>
          <w:tab w:val="num" w:pos="6120"/>
        </w:tabs>
        <w:ind w:left="6120" w:hanging="360"/>
      </w:pPr>
      <w:rPr>
        <w:rFonts w:ascii="Arial" w:hAnsi="Arial" w:hint="default"/>
      </w:rPr>
    </w:lvl>
    <w:lvl w:ilvl="8" w:tplc="F4BA134C" w:tentative="1">
      <w:start w:val="1"/>
      <w:numFmt w:val="bullet"/>
      <w:lvlText w:val="•"/>
      <w:lvlJc w:val="left"/>
      <w:pPr>
        <w:tabs>
          <w:tab w:val="num" w:pos="6840"/>
        </w:tabs>
        <w:ind w:left="6840" w:hanging="360"/>
      </w:pPr>
      <w:rPr>
        <w:rFonts w:ascii="Arial" w:hAnsi="Arial" w:hint="default"/>
      </w:rPr>
    </w:lvl>
  </w:abstractNum>
  <w:abstractNum w:abstractNumId="30" w15:restartNumberingAfterBreak="0">
    <w:nsid w:val="5A4E2A20"/>
    <w:multiLevelType w:val="hybridMultilevel"/>
    <w:tmpl w:val="8F0E8218"/>
    <w:lvl w:ilvl="0" w:tplc="2AFEBC2A">
      <w:start w:val="1"/>
      <w:numFmt w:val="decimal"/>
      <w:lvlText w:val="%1)"/>
      <w:lvlJc w:val="left"/>
      <w:pPr>
        <w:ind w:left="360" w:hanging="360"/>
      </w:pPr>
      <w:rPr>
        <w:rFonts w:hint="default"/>
      </w:rPr>
    </w:lvl>
    <w:lvl w:ilvl="1" w:tplc="0409000B">
      <w:start w:val="1"/>
      <w:numFmt w:val="bullet"/>
      <w:lvlText w:val=""/>
      <w:lvlJc w:val="left"/>
      <w:pPr>
        <w:ind w:left="840" w:hanging="420"/>
      </w:pPr>
      <w:rPr>
        <w:rFonts w:ascii="Wingdings" w:hAnsi="Wingding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1" w15:restartNumberingAfterBreak="0">
    <w:nsid w:val="5E0825A4"/>
    <w:multiLevelType w:val="hybridMultilevel"/>
    <w:tmpl w:val="68F4B45C"/>
    <w:lvl w:ilvl="0" w:tplc="04090003">
      <w:start w:val="1"/>
      <w:numFmt w:val="bullet"/>
      <w:lvlText w:val=""/>
      <w:lvlJc w:val="left"/>
      <w:pPr>
        <w:ind w:left="720" w:hanging="36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2" w15:restartNumberingAfterBreak="0">
    <w:nsid w:val="5F964C3B"/>
    <w:multiLevelType w:val="hybridMultilevel"/>
    <w:tmpl w:val="7A7EB4F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00F58D6"/>
    <w:multiLevelType w:val="multilevel"/>
    <w:tmpl w:val="600F58D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5" w15:restartNumberingAfterBreak="0">
    <w:nsid w:val="6DD2520C"/>
    <w:multiLevelType w:val="hybridMultilevel"/>
    <w:tmpl w:val="95CC60C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09842DB"/>
    <w:multiLevelType w:val="hybridMultilevel"/>
    <w:tmpl w:val="269A6864"/>
    <w:lvl w:ilvl="0" w:tplc="04090003">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B0C50A5"/>
    <w:multiLevelType w:val="hybridMultilevel"/>
    <w:tmpl w:val="2F24E3D4"/>
    <w:lvl w:ilvl="0" w:tplc="04090003">
      <w:start w:val="1"/>
      <w:numFmt w:val="bullet"/>
      <w:lvlText w:val="o"/>
      <w:lvlJc w:val="left"/>
      <w:pPr>
        <w:ind w:left="1288" w:hanging="360"/>
      </w:pPr>
      <w:rPr>
        <w:rFonts w:ascii="Courier New" w:hAnsi="Courier New" w:cs="Courier New"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num w:numId="1">
    <w:abstractNumId w:val="34"/>
  </w:num>
  <w:num w:numId="2">
    <w:abstractNumId w:val="14"/>
  </w:num>
  <w:num w:numId="3">
    <w:abstractNumId w:val="25"/>
  </w:num>
  <w:num w:numId="4">
    <w:abstractNumId w:val="29"/>
  </w:num>
  <w:num w:numId="5">
    <w:abstractNumId w:val="3"/>
  </w:num>
  <w:num w:numId="6">
    <w:abstractNumId w:val="17"/>
  </w:num>
  <w:num w:numId="7">
    <w:abstractNumId w:val="8"/>
  </w:num>
  <w:num w:numId="8">
    <w:abstractNumId w:val="2"/>
  </w:num>
  <w:num w:numId="9">
    <w:abstractNumId w:val="30"/>
  </w:num>
  <w:num w:numId="10">
    <w:abstractNumId w:val="7"/>
  </w:num>
  <w:num w:numId="11">
    <w:abstractNumId w:val="11"/>
  </w:num>
  <w:num w:numId="12">
    <w:abstractNumId w:val="10"/>
  </w:num>
  <w:num w:numId="13">
    <w:abstractNumId w:val="20"/>
  </w:num>
  <w:num w:numId="14">
    <w:abstractNumId w:val="23"/>
  </w:num>
  <w:num w:numId="15">
    <w:abstractNumId w:val="24"/>
  </w:num>
  <w:num w:numId="16">
    <w:abstractNumId w:val="5"/>
  </w:num>
  <w:num w:numId="17">
    <w:abstractNumId w:val="6"/>
  </w:num>
  <w:num w:numId="18">
    <w:abstractNumId w:val="18"/>
  </w:num>
  <w:num w:numId="19">
    <w:abstractNumId w:val="1"/>
  </w:num>
  <w:num w:numId="20">
    <w:abstractNumId w:val="21"/>
  </w:num>
  <w:num w:numId="21">
    <w:abstractNumId w:val="9"/>
  </w:num>
  <w:num w:numId="22">
    <w:abstractNumId w:val="13"/>
  </w:num>
  <w:num w:numId="23">
    <w:abstractNumId w:val="0"/>
  </w:num>
  <w:num w:numId="24">
    <w:abstractNumId w:val="22"/>
  </w:num>
  <w:num w:numId="25">
    <w:abstractNumId w:val="19"/>
  </w:num>
  <w:num w:numId="26">
    <w:abstractNumId w:val="37"/>
  </w:num>
  <w:num w:numId="27">
    <w:abstractNumId w:val="37"/>
  </w:num>
  <w:num w:numId="28">
    <w:abstractNumId w:val="15"/>
  </w:num>
  <w:num w:numId="29">
    <w:abstractNumId w:val="33"/>
  </w:num>
  <w:num w:numId="30">
    <w:abstractNumId w:val="4"/>
  </w:num>
  <w:num w:numId="31">
    <w:abstractNumId w:val="28"/>
  </w:num>
  <w:num w:numId="32">
    <w:abstractNumId w:val="26"/>
  </w:num>
  <w:num w:numId="33">
    <w:abstractNumId w:val="27"/>
  </w:num>
  <w:num w:numId="34">
    <w:abstractNumId w:val="36"/>
  </w:num>
  <w:num w:numId="35">
    <w:abstractNumId w:val="16"/>
  </w:num>
  <w:num w:numId="36">
    <w:abstractNumId w:val="32"/>
  </w:num>
  <w:num w:numId="37">
    <w:abstractNumId w:val="12"/>
  </w:num>
  <w:num w:numId="38">
    <w:abstractNumId w:val="31"/>
  </w:num>
  <w:num w:numId="39">
    <w:abstractNumId w:val="3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6C01"/>
    <w:rsid w:val="00000B50"/>
    <w:rsid w:val="00002E91"/>
    <w:rsid w:val="00004BDC"/>
    <w:rsid w:val="0000589A"/>
    <w:rsid w:val="00007450"/>
    <w:rsid w:val="00011DCA"/>
    <w:rsid w:val="000139FF"/>
    <w:rsid w:val="00013F71"/>
    <w:rsid w:val="00015A69"/>
    <w:rsid w:val="000179D3"/>
    <w:rsid w:val="00021B00"/>
    <w:rsid w:val="00021FEE"/>
    <w:rsid w:val="00025FD5"/>
    <w:rsid w:val="00027AD3"/>
    <w:rsid w:val="000307D1"/>
    <w:rsid w:val="000317A4"/>
    <w:rsid w:val="00031E98"/>
    <w:rsid w:val="00033077"/>
    <w:rsid w:val="000340B1"/>
    <w:rsid w:val="000376B3"/>
    <w:rsid w:val="00041E53"/>
    <w:rsid w:val="00042373"/>
    <w:rsid w:val="00042872"/>
    <w:rsid w:val="00044469"/>
    <w:rsid w:val="00051792"/>
    <w:rsid w:val="00052706"/>
    <w:rsid w:val="00054523"/>
    <w:rsid w:val="0005462D"/>
    <w:rsid w:val="00055A83"/>
    <w:rsid w:val="0005736B"/>
    <w:rsid w:val="0006027F"/>
    <w:rsid w:val="00062AC6"/>
    <w:rsid w:val="00063B21"/>
    <w:rsid w:val="00066F09"/>
    <w:rsid w:val="00071E97"/>
    <w:rsid w:val="00071FDC"/>
    <w:rsid w:val="00073C75"/>
    <w:rsid w:val="00074FB5"/>
    <w:rsid w:val="000819D0"/>
    <w:rsid w:val="00081DA5"/>
    <w:rsid w:val="00083677"/>
    <w:rsid w:val="00084C0C"/>
    <w:rsid w:val="0008537E"/>
    <w:rsid w:val="000910EB"/>
    <w:rsid w:val="00091FDE"/>
    <w:rsid w:val="0009236F"/>
    <w:rsid w:val="00095DD1"/>
    <w:rsid w:val="0009675A"/>
    <w:rsid w:val="0009684C"/>
    <w:rsid w:val="00096EC9"/>
    <w:rsid w:val="000A321A"/>
    <w:rsid w:val="000A4BE2"/>
    <w:rsid w:val="000A4CDF"/>
    <w:rsid w:val="000A62FA"/>
    <w:rsid w:val="000A7B90"/>
    <w:rsid w:val="000B010C"/>
    <w:rsid w:val="000B0177"/>
    <w:rsid w:val="000B090F"/>
    <w:rsid w:val="000B1BC8"/>
    <w:rsid w:val="000B2D75"/>
    <w:rsid w:val="000B4998"/>
    <w:rsid w:val="000C20AD"/>
    <w:rsid w:val="000C2C23"/>
    <w:rsid w:val="000C4946"/>
    <w:rsid w:val="000C5E19"/>
    <w:rsid w:val="000C6FBB"/>
    <w:rsid w:val="000C71AC"/>
    <w:rsid w:val="000D15BE"/>
    <w:rsid w:val="000D270D"/>
    <w:rsid w:val="000D275A"/>
    <w:rsid w:val="000D2B2C"/>
    <w:rsid w:val="000D3A81"/>
    <w:rsid w:val="000D4DF5"/>
    <w:rsid w:val="000D74AF"/>
    <w:rsid w:val="000D7676"/>
    <w:rsid w:val="000E4166"/>
    <w:rsid w:val="000E42F4"/>
    <w:rsid w:val="000E4D97"/>
    <w:rsid w:val="000E5D71"/>
    <w:rsid w:val="000F0E6F"/>
    <w:rsid w:val="001023FD"/>
    <w:rsid w:val="00105234"/>
    <w:rsid w:val="001068B7"/>
    <w:rsid w:val="001108D2"/>
    <w:rsid w:val="00112C4F"/>
    <w:rsid w:val="00114B00"/>
    <w:rsid w:val="001213D8"/>
    <w:rsid w:val="001227CA"/>
    <w:rsid w:val="00123566"/>
    <w:rsid w:val="00123B9A"/>
    <w:rsid w:val="00124A6E"/>
    <w:rsid w:val="00125460"/>
    <w:rsid w:val="00125B4A"/>
    <w:rsid w:val="00125B74"/>
    <w:rsid w:val="001274E9"/>
    <w:rsid w:val="0013029A"/>
    <w:rsid w:val="001303D6"/>
    <w:rsid w:val="001367AF"/>
    <w:rsid w:val="00141322"/>
    <w:rsid w:val="0014201B"/>
    <w:rsid w:val="00143687"/>
    <w:rsid w:val="00150905"/>
    <w:rsid w:val="00151212"/>
    <w:rsid w:val="00154CCF"/>
    <w:rsid w:val="00156C07"/>
    <w:rsid w:val="001600ED"/>
    <w:rsid w:val="00160E57"/>
    <w:rsid w:val="0016539E"/>
    <w:rsid w:val="00171C23"/>
    <w:rsid w:val="00172C11"/>
    <w:rsid w:val="0017644E"/>
    <w:rsid w:val="00176F49"/>
    <w:rsid w:val="00180FD6"/>
    <w:rsid w:val="00181BF8"/>
    <w:rsid w:val="001902C6"/>
    <w:rsid w:val="00193C64"/>
    <w:rsid w:val="0019715F"/>
    <w:rsid w:val="001A06B9"/>
    <w:rsid w:val="001A23CE"/>
    <w:rsid w:val="001A2C80"/>
    <w:rsid w:val="001A5313"/>
    <w:rsid w:val="001A7240"/>
    <w:rsid w:val="001A7E3D"/>
    <w:rsid w:val="001B0801"/>
    <w:rsid w:val="001B17C6"/>
    <w:rsid w:val="001B21D6"/>
    <w:rsid w:val="001B2BE9"/>
    <w:rsid w:val="001B6556"/>
    <w:rsid w:val="001B703D"/>
    <w:rsid w:val="001C083A"/>
    <w:rsid w:val="001C3167"/>
    <w:rsid w:val="001C3789"/>
    <w:rsid w:val="001C3A07"/>
    <w:rsid w:val="001C7CBE"/>
    <w:rsid w:val="001D1DBF"/>
    <w:rsid w:val="001D53B2"/>
    <w:rsid w:val="001E2141"/>
    <w:rsid w:val="001E2258"/>
    <w:rsid w:val="001E431C"/>
    <w:rsid w:val="001E4B61"/>
    <w:rsid w:val="001E6A84"/>
    <w:rsid w:val="001E6A9B"/>
    <w:rsid w:val="001F2914"/>
    <w:rsid w:val="0020258F"/>
    <w:rsid w:val="00205C5B"/>
    <w:rsid w:val="002107DC"/>
    <w:rsid w:val="002112C6"/>
    <w:rsid w:val="002120BA"/>
    <w:rsid w:val="0021465C"/>
    <w:rsid w:val="00214804"/>
    <w:rsid w:val="00214E91"/>
    <w:rsid w:val="0021569F"/>
    <w:rsid w:val="00222675"/>
    <w:rsid w:val="00222EEC"/>
    <w:rsid w:val="00223C25"/>
    <w:rsid w:val="00225EC8"/>
    <w:rsid w:val="00230979"/>
    <w:rsid w:val="0023324E"/>
    <w:rsid w:val="0023424B"/>
    <w:rsid w:val="00236DDE"/>
    <w:rsid w:val="00240973"/>
    <w:rsid w:val="00241E30"/>
    <w:rsid w:val="00242031"/>
    <w:rsid w:val="002434C3"/>
    <w:rsid w:val="00244282"/>
    <w:rsid w:val="0024457D"/>
    <w:rsid w:val="00247A81"/>
    <w:rsid w:val="00250866"/>
    <w:rsid w:val="00251D34"/>
    <w:rsid w:val="00254EF4"/>
    <w:rsid w:val="00255273"/>
    <w:rsid w:val="00257820"/>
    <w:rsid w:val="00260E75"/>
    <w:rsid w:val="00261173"/>
    <w:rsid w:val="00261F1F"/>
    <w:rsid w:val="00263DB8"/>
    <w:rsid w:val="00264254"/>
    <w:rsid w:val="00267A5F"/>
    <w:rsid w:val="0027029D"/>
    <w:rsid w:val="002708FC"/>
    <w:rsid w:val="00273980"/>
    <w:rsid w:val="00276D2E"/>
    <w:rsid w:val="00280A0F"/>
    <w:rsid w:val="00280D14"/>
    <w:rsid w:val="002812C7"/>
    <w:rsid w:val="00285F3B"/>
    <w:rsid w:val="002870C2"/>
    <w:rsid w:val="00287BF7"/>
    <w:rsid w:val="00287C0C"/>
    <w:rsid w:val="00290771"/>
    <w:rsid w:val="00291E19"/>
    <w:rsid w:val="00295851"/>
    <w:rsid w:val="0029683F"/>
    <w:rsid w:val="0029746B"/>
    <w:rsid w:val="002A0926"/>
    <w:rsid w:val="002A0A3D"/>
    <w:rsid w:val="002A12EA"/>
    <w:rsid w:val="002A40DE"/>
    <w:rsid w:val="002A695A"/>
    <w:rsid w:val="002A797D"/>
    <w:rsid w:val="002B1237"/>
    <w:rsid w:val="002B1F8A"/>
    <w:rsid w:val="002B3DFF"/>
    <w:rsid w:val="002B4B2B"/>
    <w:rsid w:val="002B5774"/>
    <w:rsid w:val="002B5E43"/>
    <w:rsid w:val="002B7261"/>
    <w:rsid w:val="002C0330"/>
    <w:rsid w:val="002C08E8"/>
    <w:rsid w:val="002C14CF"/>
    <w:rsid w:val="002C283E"/>
    <w:rsid w:val="002C35CF"/>
    <w:rsid w:val="002C35D3"/>
    <w:rsid w:val="002C4580"/>
    <w:rsid w:val="002C4B7A"/>
    <w:rsid w:val="002C4D78"/>
    <w:rsid w:val="002C5788"/>
    <w:rsid w:val="002C70D9"/>
    <w:rsid w:val="002D0539"/>
    <w:rsid w:val="002D0995"/>
    <w:rsid w:val="002D1882"/>
    <w:rsid w:val="002D25CB"/>
    <w:rsid w:val="002D317E"/>
    <w:rsid w:val="002D47F7"/>
    <w:rsid w:val="002D4BBF"/>
    <w:rsid w:val="002D5FCA"/>
    <w:rsid w:val="002D612D"/>
    <w:rsid w:val="002D6993"/>
    <w:rsid w:val="002E14C5"/>
    <w:rsid w:val="002E31C2"/>
    <w:rsid w:val="002E37BC"/>
    <w:rsid w:val="002E69F7"/>
    <w:rsid w:val="002F01C1"/>
    <w:rsid w:val="002F276D"/>
    <w:rsid w:val="002F375D"/>
    <w:rsid w:val="002F50C1"/>
    <w:rsid w:val="002F70CE"/>
    <w:rsid w:val="00301AB3"/>
    <w:rsid w:val="0030220B"/>
    <w:rsid w:val="003036E2"/>
    <w:rsid w:val="00304495"/>
    <w:rsid w:val="00306AE8"/>
    <w:rsid w:val="00307927"/>
    <w:rsid w:val="0031404F"/>
    <w:rsid w:val="003164D3"/>
    <w:rsid w:val="00323492"/>
    <w:rsid w:val="00326BD1"/>
    <w:rsid w:val="00327177"/>
    <w:rsid w:val="00330319"/>
    <w:rsid w:val="00333B49"/>
    <w:rsid w:val="003363E1"/>
    <w:rsid w:val="00340550"/>
    <w:rsid w:val="0034056E"/>
    <w:rsid w:val="00340B46"/>
    <w:rsid w:val="00340CC4"/>
    <w:rsid w:val="00341A23"/>
    <w:rsid w:val="00343278"/>
    <w:rsid w:val="003435D1"/>
    <w:rsid w:val="003441DB"/>
    <w:rsid w:val="003452AE"/>
    <w:rsid w:val="00345473"/>
    <w:rsid w:val="003467E6"/>
    <w:rsid w:val="00347B79"/>
    <w:rsid w:val="00347F80"/>
    <w:rsid w:val="003528F0"/>
    <w:rsid w:val="003540ED"/>
    <w:rsid w:val="00354A80"/>
    <w:rsid w:val="00354FAB"/>
    <w:rsid w:val="00361A74"/>
    <w:rsid w:val="00361BE9"/>
    <w:rsid w:val="003637AD"/>
    <w:rsid w:val="00364BAF"/>
    <w:rsid w:val="0037177B"/>
    <w:rsid w:val="003725A2"/>
    <w:rsid w:val="00374DEC"/>
    <w:rsid w:val="0037608E"/>
    <w:rsid w:val="0037701A"/>
    <w:rsid w:val="00377701"/>
    <w:rsid w:val="00380EC5"/>
    <w:rsid w:val="00381306"/>
    <w:rsid w:val="00381464"/>
    <w:rsid w:val="00381474"/>
    <w:rsid w:val="003829C1"/>
    <w:rsid w:val="00382BF2"/>
    <w:rsid w:val="003830B7"/>
    <w:rsid w:val="00383EA8"/>
    <w:rsid w:val="00385BDC"/>
    <w:rsid w:val="00390119"/>
    <w:rsid w:val="0039118F"/>
    <w:rsid w:val="00392820"/>
    <w:rsid w:val="00392A1F"/>
    <w:rsid w:val="00392C01"/>
    <w:rsid w:val="00393312"/>
    <w:rsid w:val="00394D17"/>
    <w:rsid w:val="00396EDF"/>
    <w:rsid w:val="003A27CA"/>
    <w:rsid w:val="003A4660"/>
    <w:rsid w:val="003A5A0C"/>
    <w:rsid w:val="003B2A55"/>
    <w:rsid w:val="003B4313"/>
    <w:rsid w:val="003B4644"/>
    <w:rsid w:val="003B4A0E"/>
    <w:rsid w:val="003B4A22"/>
    <w:rsid w:val="003B4DCF"/>
    <w:rsid w:val="003B6352"/>
    <w:rsid w:val="003B74C5"/>
    <w:rsid w:val="003C1597"/>
    <w:rsid w:val="003C44BB"/>
    <w:rsid w:val="003C490C"/>
    <w:rsid w:val="003C4C8F"/>
    <w:rsid w:val="003C5B31"/>
    <w:rsid w:val="003D1334"/>
    <w:rsid w:val="003D17FC"/>
    <w:rsid w:val="003D1D5F"/>
    <w:rsid w:val="003D21CD"/>
    <w:rsid w:val="003D2584"/>
    <w:rsid w:val="003D2BFA"/>
    <w:rsid w:val="003D3E2D"/>
    <w:rsid w:val="003D4506"/>
    <w:rsid w:val="003D483B"/>
    <w:rsid w:val="003D653D"/>
    <w:rsid w:val="003E07FA"/>
    <w:rsid w:val="003E21F9"/>
    <w:rsid w:val="003E2BA2"/>
    <w:rsid w:val="003E39F3"/>
    <w:rsid w:val="003E3AE4"/>
    <w:rsid w:val="003F25C2"/>
    <w:rsid w:val="003F459D"/>
    <w:rsid w:val="003F7AA2"/>
    <w:rsid w:val="00400473"/>
    <w:rsid w:val="00403407"/>
    <w:rsid w:val="0040454D"/>
    <w:rsid w:val="00404C22"/>
    <w:rsid w:val="00405033"/>
    <w:rsid w:val="004068C4"/>
    <w:rsid w:val="00410D6D"/>
    <w:rsid w:val="00414B83"/>
    <w:rsid w:val="00416ABB"/>
    <w:rsid w:val="00422402"/>
    <w:rsid w:val="00422665"/>
    <w:rsid w:val="00422951"/>
    <w:rsid w:val="00424762"/>
    <w:rsid w:val="00427495"/>
    <w:rsid w:val="0042792A"/>
    <w:rsid w:val="00427F32"/>
    <w:rsid w:val="00431166"/>
    <w:rsid w:val="004321DB"/>
    <w:rsid w:val="0043389E"/>
    <w:rsid w:val="00433A5F"/>
    <w:rsid w:val="0043413D"/>
    <w:rsid w:val="00434D8D"/>
    <w:rsid w:val="00436B38"/>
    <w:rsid w:val="00441B10"/>
    <w:rsid w:val="00443454"/>
    <w:rsid w:val="00445E2E"/>
    <w:rsid w:val="004530A0"/>
    <w:rsid w:val="004532EC"/>
    <w:rsid w:val="00453B17"/>
    <w:rsid w:val="00455DB9"/>
    <w:rsid w:val="004561E4"/>
    <w:rsid w:val="00456444"/>
    <w:rsid w:val="00457375"/>
    <w:rsid w:val="00457D4C"/>
    <w:rsid w:val="00462E72"/>
    <w:rsid w:val="004636FE"/>
    <w:rsid w:val="0046567E"/>
    <w:rsid w:val="004662C3"/>
    <w:rsid w:val="00466405"/>
    <w:rsid w:val="00466E41"/>
    <w:rsid w:val="004701AA"/>
    <w:rsid w:val="00471605"/>
    <w:rsid w:val="004727E5"/>
    <w:rsid w:val="0047405A"/>
    <w:rsid w:val="00474654"/>
    <w:rsid w:val="00474877"/>
    <w:rsid w:val="00486662"/>
    <w:rsid w:val="004910B6"/>
    <w:rsid w:val="00491E85"/>
    <w:rsid w:val="004946DA"/>
    <w:rsid w:val="004957F2"/>
    <w:rsid w:val="004959D1"/>
    <w:rsid w:val="004A1DDE"/>
    <w:rsid w:val="004A2650"/>
    <w:rsid w:val="004A3A0E"/>
    <w:rsid w:val="004A6EBB"/>
    <w:rsid w:val="004B60C6"/>
    <w:rsid w:val="004B6469"/>
    <w:rsid w:val="004C455D"/>
    <w:rsid w:val="004C4983"/>
    <w:rsid w:val="004C52F9"/>
    <w:rsid w:val="004C53DD"/>
    <w:rsid w:val="004C5B34"/>
    <w:rsid w:val="004C6E4F"/>
    <w:rsid w:val="004D1073"/>
    <w:rsid w:val="004D18C2"/>
    <w:rsid w:val="004D2D20"/>
    <w:rsid w:val="004D451F"/>
    <w:rsid w:val="004D72B7"/>
    <w:rsid w:val="004D7F4E"/>
    <w:rsid w:val="004E0BBB"/>
    <w:rsid w:val="004E379E"/>
    <w:rsid w:val="004E3D4D"/>
    <w:rsid w:val="004E40E6"/>
    <w:rsid w:val="004E6B4B"/>
    <w:rsid w:val="004F698D"/>
    <w:rsid w:val="004F77E0"/>
    <w:rsid w:val="004F794D"/>
    <w:rsid w:val="004F7D93"/>
    <w:rsid w:val="00500FE6"/>
    <w:rsid w:val="00503047"/>
    <w:rsid w:val="00505D3A"/>
    <w:rsid w:val="00507B1D"/>
    <w:rsid w:val="005101D0"/>
    <w:rsid w:val="005115AA"/>
    <w:rsid w:val="00515B87"/>
    <w:rsid w:val="0051715F"/>
    <w:rsid w:val="00520E1D"/>
    <w:rsid w:val="00521941"/>
    <w:rsid w:val="00521A50"/>
    <w:rsid w:val="00522056"/>
    <w:rsid w:val="0052223E"/>
    <w:rsid w:val="005250F1"/>
    <w:rsid w:val="005251A2"/>
    <w:rsid w:val="0052611F"/>
    <w:rsid w:val="00526AE4"/>
    <w:rsid w:val="00527411"/>
    <w:rsid w:val="00530DFD"/>
    <w:rsid w:val="0053165F"/>
    <w:rsid w:val="00532055"/>
    <w:rsid w:val="00534BDE"/>
    <w:rsid w:val="00536356"/>
    <w:rsid w:val="0053666D"/>
    <w:rsid w:val="005368A1"/>
    <w:rsid w:val="005369A6"/>
    <w:rsid w:val="00537307"/>
    <w:rsid w:val="00537488"/>
    <w:rsid w:val="00537F62"/>
    <w:rsid w:val="005404BA"/>
    <w:rsid w:val="00540B6A"/>
    <w:rsid w:val="00542697"/>
    <w:rsid w:val="005448A9"/>
    <w:rsid w:val="00546D4C"/>
    <w:rsid w:val="00550279"/>
    <w:rsid w:val="00553A6D"/>
    <w:rsid w:val="00554910"/>
    <w:rsid w:val="00557558"/>
    <w:rsid w:val="00557976"/>
    <w:rsid w:val="0056228C"/>
    <w:rsid w:val="005636B1"/>
    <w:rsid w:val="00566841"/>
    <w:rsid w:val="00567EE9"/>
    <w:rsid w:val="00571853"/>
    <w:rsid w:val="0057223E"/>
    <w:rsid w:val="00576D55"/>
    <w:rsid w:val="0058039E"/>
    <w:rsid w:val="00583D43"/>
    <w:rsid w:val="00585C9C"/>
    <w:rsid w:val="00586207"/>
    <w:rsid w:val="00590E8D"/>
    <w:rsid w:val="005917DE"/>
    <w:rsid w:val="00595289"/>
    <w:rsid w:val="005952E2"/>
    <w:rsid w:val="00595537"/>
    <w:rsid w:val="005A0206"/>
    <w:rsid w:val="005A13D0"/>
    <w:rsid w:val="005A5644"/>
    <w:rsid w:val="005A6C01"/>
    <w:rsid w:val="005A78FA"/>
    <w:rsid w:val="005B0797"/>
    <w:rsid w:val="005B6F2B"/>
    <w:rsid w:val="005C0083"/>
    <w:rsid w:val="005C14BB"/>
    <w:rsid w:val="005C3F6F"/>
    <w:rsid w:val="005C4435"/>
    <w:rsid w:val="005C5102"/>
    <w:rsid w:val="005C778A"/>
    <w:rsid w:val="005C782D"/>
    <w:rsid w:val="005D057A"/>
    <w:rsid w:val="005D2713"/>
    <w:rsid w:val="005D5111"/>
    <w:rsid w:val="005E033A"/>
    <w:rsid w:val="005E0BB3"/>
    <w:rsid w:val="005E0E94"/>
    <w:rsid w:val="005E141C"/>
    <w:rsid w:val="005E2B0A"/>
    <w:rsid w:val="005E5D49"/>
    <w:rsid w:val="005E7902"/>
    <w:rsid w:val="005F1E8F"/>
    <w:rsid w:val="005F4742"/>
    <w:rsid w:val="005F4816"/>
    <w:rsid w:val="005F6066"/>
    <w:rsid w:val="005F6187"/>
    <w:rsid w:val="005F7455"/>
    <w:rsid w:val="005F77C3"/>
    <w:rsid w:val="00601E49"/>
    <w:rsid w:val="0060274A"/>
    <w:rsid w:val="00605382"/>
    <w:rsid w:val="00611067"/>
    <w:rsid w:val="00613CB9"/>
    <w:rsid w:val="0061426F"/>
    <w:rsid w:val="00614D5A"/>
    <w:rsid w:val="00616006"/>
    <w:rsid w:val="00622CF3"/>
    <w:rsid w:val="0062361B"/>
    <w:rsid w:val="006241B2"/>
    <w:rsid w:val="00627191"/>
    <w:rsid w:val="00627D89"/>
    <w:rsid w:val="00631BE7"/>
    <w:rsid w:val="00632720"/>
    <w:rsid w:val="00636849"/>
    <w:rsid w:val="00637194"/>
    <w:rsid w:val="00640D4D"/>
    <w:rsid w:val="00644E4A"/>
    <w:rsid w:val="00646A11"/>
    <w:rsid w:val="00646B88"/>
    <w:rsid w:val="006523D7"/>
    <w:rsid w:val="00653EDE"/>
    <w:rsid w:val="0065505F"/>
    <w:rsid w:val="00655BF8"/>
    <w:rsid w:val="00661A2B"/>
    <w:rsid w:val="00662582"/>
    <w:rsid w:val="006625ED"/>
    <w:rsid w:val="006627EC"/>
    <w:rsid w:val="00662C1A"/>
    <w:rsid w:val="0066444C"/>
    <w:rsid w:val="00665BBC"/>
    <w:rsid w:val="00666BB1"/>
    <w:rsid w:val="00667E84"/>
    <w:rsid w:val="006714FE"/>
    <w:rsid w:val="0067420B"/>
    <w:rsid w:val="00677CE1"/>
    <w:rsid w:val="006868FA"/>
    <w:rsid w:val="0069043F"/>
    <w:rsid w:val="00691212"/>
    <w:rsid w:val="0069494E"/>
    <w:rsid w:val="00694FAE"/>
    <w:rsid w:val="0069678B"/>
    <w:rsid w:val="006A05DA"/>
    <w:rsid w:val="006A44C2"/>
    <w:rsid w:val="006A4C88"/>
    <w:rsid w:val="006A5024"/>
    <w:rsid w:val="006B0427"/>
    <w:rsid w:val="006B07C7"/>
    <w:rsid w:val="006B41B1"/>
    <w:rsid w:val="006B5EA5"/>
    <w:rsid w:val="006B74D1"/>
    <w:rsid w:val="006C092F"/>
    <w:rsid w:val="006C2000"/>
    <w:rsid w:val="006C2107"/>
    <w:rsid w:val="006C28B0"/>
    <w:rsid w:val="006C4E0A"/>
    <w:rsid w:val="006C64BF"/>
    <w:rsid w:val="006C712F"/>
    <w:rsid w:val="006D04B7"/>
    <w:rsid w:val="006D5974"/>
    <w:rsid w:val="006D7CDC"/>
    <w:rsid w:val="006E39F0"/>
    <w:rsid w:val="006E59A4"/>
    <w:rsid w:val="006E5D0A"/>
    <w:rsid w:val="006E61C5"/>
    <w:rsid w:val="006E653D"/>
    <w:rsid w:val="006E6E11"/>
    <w:rsid w:val="006F1620"/>
    <w:rsid w:val="006F1CE1"/>
    <w:rsid w:val="006F2AF5"/>
    <w:rsid w:val="006F4B9A"/>
    <w:rsid w:val="006F6CB8"/>
    <w:rsid w:val="006F70D9"/>
    <w:rsid w:val="006F7146"/>
    <w:rsid w:val="006F733B"/>
    <w:rsid w:val="00701CB7"/>
    <w:rsid w:val="007022D5"/>
    <w:rsid w:val="00702DEF"/>
    <w:rsid w:val="00703E1A"/>
    <w:rsid w:val="00704841"/>
    <w:rsid w:val="0070643C"/>
    <w:rsid w:val="007100D5"/>
    <w:rsid w:val="007136C7"/>
    <w:rsid w:val="007139E8"/>
    <w:rsid w:val="00716030"/>
    <w:rsid w:val="007165ED"/>
    <w:rsid w:val="00717A5B"/>
    <w:rsid w:val="00717D91"/>
    <w:rsid w:val="00720C31"/>
    <w:rsid w:val="00721F9F"/>
    <w:rsid w:val="00722212"/>
    <w:rsid w:val="00724547"/>
    <w:rsid w:val="00724C73"/>
    <w:rsid w:val="00725211"/>
    <w:rsid w:val="007272A8"/>
    <w:rsid w:val="00727338"/>
    <w:rsid w:val="0072783E"/>
    <w:rsid w:val="007312DB"/>
    <w:rsid w:val="007379C2"/>
    <w:rsid w:val="00743604"/>
    <w:rsid w:val="00744E6C"/>
    <w:rsid w:val="00745334"/>
    <w:rsid w:val="00746557"/>
    <w:rsid w:val="0075109D"/>
    <w:rsid w:val="007531BD"/>
    <w:rsid w:val="00753368"/>
    <w:rsid w:val="00753964"/>
    <w:rsid w:val="00757155"/>
    <w:rsid w:val="00757E95"/>
    <w:rsid w:val="0076339A"/>
    <w:rsid w:val="00764B6F"/>
    <w:rsid w:val="00765048"/>
    <w:rsid w:val="007655D9"/>
    <w:rsid w:val="007655F5"/>
    <w:rsid w:val="0076646B"/>
    <w:rsid w:val="007670EC"/>
    <w:rsid w:val="007705E1"/>
    <w:rsid w:val="00770748"/>
    <w:rsid w:val="0077178E"/>
    <w:rsid w:val="0077179A"/>
    <w:rsid w:val="007731B7"/>
    <w:rsid w:val="007731C9"/>
    <w:rsid w:val="007747B3"/>
    <w:rsid w:val="0077513B"/>
    <w:rsid w:val="00775E8C"/>
    <w:rsid w:val="0077679F"/>
    <w:rsid w:val="0078049A"/>
    <w:rsid w:val="007841A7"/>
    <w:rsid w:val="00784305"/>
    <w:rsid w:val="00790340"/>
    <w:rsid w:val="0079089C"/>
    <w:rsid w:val="00792615"/>
    <w:rsid w:val="00797255"/>
    <w:rsid w:val="00797D7C"/>
    <w:rsid w:val="007A1683"/>
    <w:rsid w:val="007A17C7"/>
    <w:rsid w:val="007A2039"/>
    <w:rsid w:val="007A2F1A"/>
    <w:rsid w:val="007A395C"/>
    <w:rsid w:val="007A4FB3"/>
    <w:rsid w:val="007A5BA7"/>
    <w:rsid w:val="007A5E8E"/>
    <w:rsid w:val="007A78E4"/>
    <w:rsid w:val="007B059C"/>
    <w:rsid w:val="007B1765"/>
    <w:rsid w:val="007B1B87"/>
    <w:rsid w:val="007B301B"/>
    <w:rsid w:val="007B3390"/>
    <w:rsid w:val="007B4DC8"/>
    <w:rsid w:val="007B5612"/>
    <w:rsid w:val="007B64E0"/>
    <w:rsid w:val="007C1183"/>
    <w:rsid w:val="007C2617"/>
    <w:rsid w:val="007C7323"/>
    <w:rsid w:val="007C797A"/>
    <w:rsid w:val="007D111E"/>
    <w:rsid w:val="007D1B7A"/>
    <w:rsid w:val="007D4764"/>
    <w:rsid w:val="007D563C"/>
    <w:rsid w:val="007D616A"/>
    <w:rsid w:val="007E37A5"/>
    <w:rsid w:val="007E4168"/>
    <w:rsid w:val="007E48B6"/>
    <w:rsid w:val="007E555E"/>
    <w:rsid w:val="007E5E88"/>
    <w:rsid w:val="007F1B0C"/>
    <w:rsid w:val="007F4317"/>
    <w:rsid w:val="007F478A"/>
    <w:rsid w:val="007F792A"/>
    <w:rsid w:val="008030D5"/>
    <w:rsid w:val="0080526F"/>
    <w:rsid w:val="0080559A"/>
    <w:rsid w:val="00806C5B"/>
    <w:rsid w:val="0081294D"/>
    <w:rsid w:val="0081568B"/>
    <w:rsid w:val="00817381"/>
    <w:rsid w:val="008205F2"/>
    <w:rsid w:val="00820B9C"/>
    <w:rsid w:val="008236FA"/>
    <w:rsid w:val="00824FDF"/>
    <w:rsid w:val="0083208C"/>
    <w:rsid w:val="00833887"/>
    <w:rsid w:val="00837F0D"/>
    <w:rsid w:val="00843165"/>
    <w:rsid w:val="00850A29"/>
    <w:rsid w:val="008516DB"/>
    <w:rsid w:val="008519A4"/>
    <w:rsid w:val="008530DF"/>
    <w:rsid w:val="00854C45"/>
    <w:rsid w:val="008556B8"/>
    <w:rsid w:val="00860EA5"/>
    <w:rsid w:val="00861252"/>
    <w:rsid w:val="008614D6"/>
    <w:rsid w:val="00861801"/>
    <w:rsid w:val="00863E12"/>
    <w:rsid w:val="00865CCF"/>
    <w:rsid w:val="00867323"/>
    <w:rsid w:val="00872A3B"/>
    <w:rsid w:val="008730CF"/>
    <w:rsid w:val="00873EC5"/>
    <w:rsid w:val="008751A7"/>
    <w:rsid w:val="0087687F"/>
    <w:rsid w:val="00881972"/>
    <w:rsid w:val="00882461"/>
    <w:rsid w:val="0088512B"/>
    <w:rsid w:val="00886DDE"/>
    <w:rsid w:val="0088767D"/>
    <w:rsid w:val="00891DEE"/>
    <w:rsid w:val="008926DB"/>
    <w:rsid w:val="00893D8A"/>
    <w:rsid w:val="00894085"/>
    <w:rsid w:val="00897711"/>
    <w:rsid w:val="00897D9B"/>
    <w:rsid w:val="008A2D75"/>
    <w:rsid w:val="008A36B0"/>
    <w:rsid w:val="008A4F91"/>
    <w:rsid w:val="008A671E"/>
    <w:rsid w:val="008A7193"/>
    <w:rsid w:val="008B23F6"/>
    <w:rsid w:val="008B6FB4"/>
    <w:rsid w:val="008B7D82"/>
    <w:rsid w:val="008C2D42"/>
    <w:rsid w:val="008C39D9"/>
    <w:rsid w:val="008C4F5F"/>
    <w:rsid w:val="008D6DB9"/>
    <w:rsid w:val="008D7355"/>
    <w:rsid w:val="008D7C95"/>
    <w:rsid w:val="008E248C"/>
    <w:rsid w:val="008E273E"/>
    <w:rsid w:val="008E45F1"/>
    <w:rsid w:val="008E707C"/>
    <w:rsid w:val="008E7BF8"/>
    <w:rsid w:val="008F0580"/>
    <w:rsid w:val="008F08A2"/>
    <w:rsid w:val="008F5558"/>
    <w:rsid w:val="008F6C21"/>
    <w:rsid w:val="00900AFC"/>
    <w:rsid w:val="00900E45"/>
    <w:rsid w:val="00901B7B"/>
    <w:rsid w:val="0090306E"/>
    <w:rsid w:val="00903CA5"/>
    <w:rsid w:val="0090449F"/>
    <w:rsid w:val="00904E68"/>
    <w:rsid w:val="009064B1"/>
    <w:rsid w:val="00907E0C"/>
    <w:rsid w:val="00910C9D"/>
    <w:rsid w:val="0091240E"/>
    <w:rsid w:val="00913CC7"/>
    <w:rsid w:val="0091540E"/>
    <w:rsid w:val="00921059"/>
    <w:rsid w:val="00921A48"/>
    <w:rsid w:val="00922613"/>
    <w:rsid w:val="009255A8"/>
    <w:rsid w:val="0092724B"/>
    <w:rsid w:val="00927F3F"/>
    <w:rsid w:val="00931E52"/>
    <w:rsid w:val="009344BC"/>
    <w:rsid w:val="00935A60"/>
    <w:rsid w:val="0094106A"/>
    <w:rsid w:val="00942BF1"/>
    <w:rsid w:val="0094462E"/>
    <w:rsid w:val="00944CFA"/>
    <w:rsid w:val="009461A6"/>
    <w:rsid w:val="0094622D"/>
    <w:rsid w:val="00950A5A"/>
    <w:rsid w:val="00950F6D"/>
    <w:rsid w:val="00952080"/>
    <w:rsid w:val="00956BE6"/>
    <w:rsid w:val="00957A72"/>
    <w:rsid w:val="00962DE9"/>
    <w:rsid w:val="00963CD1"/>
    <w:rsid w:val="009650E7"/>
    <w:rsid w:val="00965742"/>
    <w:rsid w:val="009703BE"/>
    <w:rsid w:val="0097052A"/>
    <w:rsid w:val="00970EAD"/>
    <w:rsid w:val="009720CF"/>
    <w:rsid w:val="009723CB"/>
    <w:rsid w:val="009725B1"/>
    <w:rsid w:val="00974496"/>
    <w:rsid w:val="00975719"/>
    <w:rsid w:val="00977121"/>
    <w:rsid w:val="00980389"/>
    <w:rsid w:val="009810FC"/>
    <w:rsid w:val="0098323E"/>
    <w:rsid w:val="00983F10"/>
    <w:rsid w:val="0099303B"/>
    <w:rsid w:val="00995FB3"/>
    <w:rsid w:val="009A40E1"/>
    <w:rsid w:val="009B2291"/>
    <w:rsid w:val="009B2C92"/>
    <w:rsid w:val="009B6C28"/>
    <w:rsid w:val="009B7B34"/>
    <w:rsid w:val="009C1920"/>
    <w:rsid w:val="009C441D"/>
    <w:rsid w:val="009C7A21"/>
    <w:rsid w:val="009D129A"/>
    <w:rsid w:val="009D2FAE"/>
    <w:rsid w:val="009D5EFD"/>
    <w:rsid w:val="009D62A8"/>
    <w:rsid w:val="009D69EE"/>
    <w:rsid w:val="009D7D41"/>
    <w:rsid w:val="009E372E"/>
    <w:rsid w:val="009E7C28"/>
    <w:rsid w:val="009F1297"/>
    <w:rsid w:val="009F1358"/>
    <w:rsid w:val="009F1979"/>
    <w:rsid w:val="009F468B"/>
    <w:rsid w:val="009F52ED"/>
    <w:rsid w:val="009F6E47"/>
    <w:rsid w:val="009F7F6F"/>
    <w:rsid w:val="00A0305E"/>
    <w:rsid w:val="00A041BE"/>
    <w:rsid w:val="00A050EF"/>
    <w:rsid w:val="00A06410"/>
    <w:rsid w:val="00A11972"/>
    <w:rsid w:val="00A12448"/>
    <w:rsid w:val="00A13944"/>
    <w:rsid w:val="00A14451"/>
    <w:rsid w:val="00A14D7C"/>
    <w:rsid w:val="00A16C5A"/>
    <w:rsid w:val="00A17BDD"/>
    <w:rsid w:val="00A20E69"/>
    <w:rsid w:val="00A216CB"/>
    <w:rsid w:val="00A22705"/>
    <w:rsid w:val="00A23842"/>
    <w:rsid w:val="00A24C7A"/>
    <w:rsid w:val="00A268E6"/>
    <w:rsid w:val="00A307E6"/>
    <w:rsid w:val="00A33CAD"/>
    <w:rsid w:val="00A36963"/>
    <w:rsid w:val="00A36D27"/>
    <w:rsid w:val="00A376E9"/>
    <w:rsid w:val="00A37F44"/>
    <w:rsid w:val="00A407C6"/>
    <w:rsid w:val="00A41BF8"/>
    <w:rsid w:val="00A42E47"/>
    <w:rsid w:val="00A4324C"/>
    <w:rsid w:val="00A44717"/>
    <w:rsid w:val="00A50C49"/>
    <w:rsid w:val="00A50E5B"/>
    <w:rsid w:val="00A516B7"/>
    <w:rsid w:val="00A5337A"/>
    <w:rsid w:val="00A53F31"/>
    <w:rsid w:val="00A5511A"/>
    <w:rsid w:val="00A56331"/>
    <w:rsid w:val="00A56BBF"/>
    <w:rsid w:val="00A57F2D"/>
    <w:rsid w:val="00A60513"/>
    <w:rsid w:val="00A60832"/>
    <w:rsid w:val="00A7005E"/>
    <w:rsid w:val="00A7061B"/>
    <w:rsid w:val="00A73FF0"/>
    <w:rsid w:val="00A74F29"/>
    <w:rsid w:val="00A81636"/>
    <w:rsid w:val="00A816B3"/>
    <w:rsid w:val="00A82833"/>
    <w:rsid w:val="00A841C6"/>
    <w:rsid w:val="00A84A97"/>
    <w:rsid w:val="00A86CC5"/>
    <w:rsid w:val="00A8722F"/>
    <w:rsid w:val="00A9022C"/>
    <w:rsid w:val="00A9038C"/>
    <w:rsid w:val="00A925C5"/>
    <w:rsid w:val="00A93134"/>
    <w:rsid w:val="00A95AE9"/>
    <w:rsid w:val="00AA4C5A"/>
    <w:rsid w:val="00AA64EF"/>
    <w:rsid w:val="00AA6657"/>
    <w:rsid w:val="00AA78EA"/>
    <w:rsid w:val="00AB132F"/>
    <w:rsid w:val="00AB27CF"/>
    <w:rsid w:val="00AB3D29"/>
    <w:rsid w:val="00AB3FBF"/>
    <w:rsid w:val="00AB64A8"/>
    <w:rsid w:val="00AC00A9"/>
    <w:rsid w:val="00AC0592"/>
    <w:rsid w:val="00AC05A9"/>
    <w:rsid w:val="00AC1A22"/>
    <w:rsid w:val="00AC2976"/>
    <w:rsid w:val="00AC6FAF"/>
    <w:rsid w:val="00AD1463"/>
    <w:rsid w:val="00AD22A9"/>
    <w:rsid w:val="00AD325D"/>
    <w:rsid w:val="00AD3B3A"/>
    <w:rsid w:val="00AD5C5A"/>
    <w:rsid w:val="00AD65DA"/>
    <w:rsid w:val="00AD6713"/>
    <w:rsid w:val="00AE1BEE"/>
    <w:rsid w:val="00AE2BAE"/>
    <w:rsid w:val="00AE3EEE"/>
    <w:rsid w:val="00AE5087"/>
    <w:rsid w:val="00AE5E2F"/>
    <w:rsid w:val="00AE6204"/>
    <w:rsid w:val="00AE68A7"/>
    <w:rsid w:val="00AE6D16"/>
    <w:rsid w:val="00AF151B"/>
    <w:rsid w:val="00AF6C63"/>
    <w:rsid w:val="00AF7465"/>
    <w:rsid w:val="00B01FAF"/>
    <w:rsid w:val="00B025CF"/>
    <w:rsid w:val="00B03599"/>
    <w:rsid w:val="00B06668"/>
    <w:rsid w:val="00B0700C"/>
    <w:rsid w:val="00B07145"/>
    <w:rsid w:val="00B15F2B"/>
    <w:rsid w:val="00B1799E"/>
    <w:rsid w:val="00B20B9F"/>
    <w:rsid w:val="00B20C0B"/>
    <w:rsid w:val="00B20D50"/>
    <w:rsid w:val="00B217C8"/>
    <w:rsid w:val="00B21DB1"/>
    <w:rsid w:val="00B253E6"/>
    <w:rsid w:val="00B26F92"/>
    <w:rsid w:val="00B30D04"/>
    <w:rsid w:val="00B313C8"/>
    <w:rsid w:val="00B32196"/>
    <w:rsid w:val="00B321A7"/>
    <w:rsid w:val="00B33AD4"/>
    <w:rsid w:val="00B33E0B"/>
    <w:rsid w:val="00B35109"/>
    <w:rsid w:val="00B35DE6"/>
    <w:rsid w:val="00B3687D"/>
    <w:rsid w:val="00B4031A"/>
    <w:rsid w:val="00B42AF7"/>
    <w:rsid w:val="00B43103"/>
    <w:rsid w:val="00B46843"/>
    <w:rsid w:val="00B46882"/>
    <w:rsid w:val="00B56B6D"/>
    <w:rsid w:val="00B5712F"/>
    <w:rsid w:val="00B57978"/>
    <w:rsid w:val="00B614CC"/>
    <w:rsid w:val="00B62482"/>
    <w:rsid w:val="00B63BEB"/>
    <w:rsid w:val="00B65DE0"/>
    <w:rsid w:val="00B667A2"/>
    <w:rsid w:val="00B675D4"/>
    <w:rsid w:val="00B71E5C"/>
    <w:rsid w:val="00B72CF2"/>
    <w:rsid w:val="00B72ECE"/>
    <w:rsid w:val="00B74156"/>
    <w:rsid w:val="00B754B2"/>
    <w:rsid w:val="00B77FB6"/>
    <w:rsid w:val="00B804A7"/>
    <w:rsid w:val="00B80E89"/>
    <w:rsid w:val="00B81420"/>
    <w:rsid w:val="00B84AA9"/>
    <w:rsid w:val="00B8508E"/>
    <w:rsid w:val="00B85E98"/>
    <w:rsid w:val="00B90CC3"/>
    <w:rsid w:val="00B92D26"/>
    <w:rsid w:val="00B92DA5"/>
    <w:rsid w:val="00B97671"/>
    <w:rsid w:val="00B97CB4"/>
    <w:rsid w:val="00B97D1A"/>
    <w:rsid w:val="00BA01BE"/>
    <w:rsid w:val="00BA029E"/>
    <w:rsid w:val="00BA3C8C"/>
    <w:rsid w:val="00BA4D3B"/>
    <w:rsid w:val="00BB1E1A"/>
    <w:rsid w:val="00BB79B6"/>
    <w:rsid w:val="00BC1E42"/>
    <w:rsid w:val="00BC30E4"/>
    <w:rsid w:val="00BC3C30"/>
    <w:rsid w:val="00BC526F"/>
    <w:rsid w:val="00BD06D3"/>
    <w:rsid w:val="00BD0A6A"/>
    <w:rsid w:val="00BD3E7C"/>
    <w:rsid w:val="00BD46C2"/>
    <w:rsid w:val="00BD46C3"/>
    <w:rsid w:val="00BD5DB0"/>
    <w:rsid w:val="00BD6A59"/>
    <w:rsid w:val="00BE17D5"/>
    <w:rsid w:val="00BE30B7"/>
    <w:rsid w:val="00BE4304"/>
    <w:rsid w:val="00BE5AE5"/>
    <w:rsid w:val="00BE66E3"/>
    <w:rsid w:val="00BE7877"/>
    <w:rsid w:val="00BE7A5C"/>
    <w:rsid w:val="00BF0A0E"/>
    <w:rsid w:val="00BF452E"/>
    <w:rsid w:val="00BF4AA2"/>
    <w:rsid w:val="00BF5674"/>
    <w:rsid w:val="00BF56B4"/>
    <w:rsid w:val="00C05F27"/>
    <w:rsid w:val="00C0701F"/>
    <w:rsid w:val="00C117BD"/>
    <w:rsid w:val="00C132EB"/>
    <w:rsid w:val="00C15573"/>
    <w:rsid w:val="00C15BFF"/>
    <w:rsid w:val="00C15EBD"/>
    <w:rsid w:val="00C17240"/>
    <w:rsid w:val="00C21C7F"/>
    <w:rsid w:val="00C25624"/>
    <w:rsid w:val="00C27622"/>
    <w:rsid w:val="00C31B9A"/>
    <w:rsid w:val="00C3205D"/>
    <w:rsid w:val="00C37CB4"/>
    <w:rsid w:val="00C43F4D"/>
    <w:rsid w:val="00C44A0D"/>
    <w:rsid w:val="00C44D6E"/>
    <w:rsid w:val="00C46DBC"/>
    <w:rsid w:val="00C50050"/>
    <w:rsid w:val="00C51E5F"/>
    <w:rsid w:val="00C52289"/>
    <w:rsid w:val="00C535C6"/>
    <w:rsid w:val="00C54CD8"/>
    <w:rsid w:val="00C553A6"/>
    <w:rsid w:val="00C60346"/>
    <w:rsid w:val="00C609C0"/>
    <w:rsid w:val="00C62E70"/>
    <w:rsid w:val="00C66416"/>
    <w:rsid w:val="00C70ACA"/>
    <w:rsid w:val="00C70CF7"/>
    <w:rsid w:val="00C7234D"/>
    <w:rsid w:val="00C76BA3"/>
    <w:rsid w:val="00C77415"/>
    <w:rsid w:val="00C77723"/>
    <w:rsid w:val="00C817AC"/>
    <w:rsid w:val="00C81903"/>
    <w:rsid w:val="00C82788"/>
    <w:rsid w:val="00C85932"/>
    <w:rsid w:val="00C85BCA"/>
    <w:rsid w:val="00C87A52"/>
    <w:rsid w:val="00C9084F"/>
    <w:rsid w:val="00C90FB4"/>
    <w:rsid w:val="00C92D0A"/>
    <w:rsid w:val="00C97D05"/>
    <w:rsid w:val="00CA0E31"/>
    <w:rsid w:val="00CA147F"/>
    <w:rsid w:val="00CA2904"/>
    <w:rsid w:val="00CA32C5"/>
    <w:rsid w:val="00CA6A8E"/>
    <w:rsid w:val="00CA730E"/>
    <w:rsid w:val="00CA7DBF"/>
    <w:rsid w:val="00CA7F93"/>
    <w:rsid w:val="00CB26E2"/>
    <w:rsid w:val="00CB2BB9"/>
    <w:rsid w:val="00CB5E7A"/>
    <w:rsid w:val="00CB66DC"/>
    <w:rsid w:val="00CB6DBC"/>
    <w:rsid w:val="00CC1E40"/>
    <w:rsid w:val="00CC52B0"/>
    <w:rsid w:val="00CC640F"/>
    <w:rsid w:val="00CC731D"/>
    <w:rsid w:val="00CD0BB2"/>
    <w:rsid w:val="00CD186F"/>
    <w:rsid w:val="00CD5AEA"/>
    <w:rsid w:val="00CD60A8"/>
    <w:rsid w:val="00CE42D5"/>
    <w:rsid w:val="00CE7ADA"/>
    <w:rsid w:val="00CF24EF"/>
    <w:rsid w:val="00D017F3"/>
    <w:rsid w:val="00D044D7"/>
    <w:rsid w:val="00D11DCD"/>
    <w:rsid w:val="00D12E21"/>
    <w:rsid w:val="00D13D00"/>
    <w:rsid w:val="00D15B1B"/>
    <w:rsid w:val="00D15E7A"/>
    <w:rsid w:val="00D20135"/>
    <w:rsid w:val="00D21114"/>
    <w:rsid w:val="00D22959"/>
    <w:rsid w:val="00D23D7F"/>
    <w:rsid w:val="00D24C81"/>
    <w:rsid w:val="00D251D3"/>
    <w:rsid w:val="00D2592F"/>
    <w:rsid w:val="00D26231"/>
    <w:rsid w:val="00D32041"/>
    <w:rsid w:val="00D339F0"/>
    <w:rsid w:val="00D347A1"/>
    <w:rsid w:val="00D376E6"/>
    <w:rsid w:val="00D40D3F"/>
    <w:rsid w:val="00D42298"/>
    <w:rsid w:val="00D441A6"/>
    <w:rsid w:val="00D443F8"/>
    <w:rsid w:val="00D451DC"/>
    <w:rsid w:val="00D453C4"/>
    <w:rsid w:val="00D458B5"/>
    <w:rsid w:val="00D47110"/>
    <w:rsid w:val="00D536EB"/>
    <w:rsid w:val="00D55DB4"/>
    <w:rsid w:val="00D6074C"/>
    <w:rsid w:val="00D60776"/>
    <w:rsid w:val="00D60FAF"/>
    <w:rsid w:val="00D616ED"/>
    <w:rsid w:val="00D61938"/>
    <w:rsid w:val="00D61AF4"/>
    <w:rsid w:val="00D61D86"/>
    <w:rsid w:val="00D62878"/>
    <w:rsid w:val="00D71C09"/>
    <w:rsid w:val="00D72F5D"/>
    <w:rsid w:val="00D73267"/>
    <w:rsid w:val="00D74175"/>
    <w:rsid w:val="00D76B6A"/>
    <w:rsid w:val="00D76E6B"/>
    <w:rsid w:val="00D82BCD"/>
    <w:rsid w:val="00D8651F"/>
    <w:rsid w:val="00D86A11"/>
    <w:rsid w:val="00D871C1"/>
    <w:rsid w:val="00D95351"/>
    <w:rsid w:val="00D95513"/>
    <w:rsid w:val="00D96C13"/>
    <w:rsid w:val="00DA128D"/>
    <w:rsid w:val="00DA2EE8"/>
    <w:rsid w:val="00DA3057"/>
    <w:rsid w:val="00DA5226"/>
    <w:rsid w:val="00DA56DD"/>
    <w:rsid w:val="00DB0DD0"/>
    <w:rsid w:val="00DB2A72"/>
    <w:rsid w:val="00DB3386"/>
    <w:rsid w:val="00DB575B"/>
    <w:rsid w:val="00DB7A8F"/>
    <w:rsid w:val="00DC657A"/>
    <w:rsid w:val="00DC7BC6"/>
    <w:rsid w:val="00DD0D14"/>
    <w:rsid w:val="00DD181B"/>
    <w:rsid w:val="00DD3310"/>
    <w:rsid w:val="00DD52D7"/>
    <w:rsid w:val="00DD5FAA"/>
    <w:rsid w:val="00DD74BB"/>
    <w:rsid w:val="00DE133D"/>
    <w:rsid w:val="00DE2D28"/>
    <w:rsid w:val="00DE2E8A"/>
    <w:rsid w:val="00DF21C6"/>
    <w:rsid w:val="00DF437D"/>
    <w:rsid w:val="00DF62E9"/>
    <w:rsid w:val="00E02AC1"/>
    <w:rsid w:val="00E04F80"/>
    <w:rsid w:val="00E06D15"/>
    <w:rsid w:val="00E0796B"/>
    <w:rsid w:val="00E1065B"/>
    <w:rsid w:val="00E106C5"/>
    <w:rsid w:val="00E16A07"/>
    <w:rsid w:val="00E17577"/>
    <w:rsid w:val="00E21447"/>
    <w:rsid w:val="00E24019"/>
    <w:rsid w:val="00E24AF9"/>
    <w:rsid w:val="00E2500B"/>
    <w:rsid w:val="00E273EF"/>
    <w:rsid w:val="00E27832"/>
    <w:rsid w:val="00E30E0C"/>
    <w:rsid w:val="00E3167C"/>
    <w:rsid w:val="00E33382"/>
    <w:rsid w:val="00E34510"/>
    <w:rsid w:val="00E34E92"/>
    <w:rsid w:val="00E364E3"/>
    <w:rsid w:val="00E50FF6"/>
    <w:rsid w:val="00E541A7"/>
    <w:rsid w:val="00E5573C"/>
    <w:rsid w:val="00E56A68"/>
    <w:rsid w:val="00E60B4D"/>
    <w:rsid w:val="00E61259"/>
    <w:rsid w:val="00E615F0"/>
    <w:rsid w:val="00E657FD"/>
    <w:rsid w:val="00E65B42"/>
    <w:rsid w:val="00E667D1"/>
    <w:rsid w:val="00E67FCF"/>
    <w:rsid w:val="00E723BE"/>
    <w:rsid w:val="00E751EA"/>
    <w:rsid w:val="00E75897"/>
    <w:rsid w:val="00E802C5"/>
    <w:rsid w:val="00E80916"/>
    <w:rsid w:val="00E83162"/>
    <w:rsid w:val="00E838C9"/>
    <w:rsid w:val="00E83A82"/>
    <w:rsid w:val="00E84817"/>
    <w:rsid w:val="00E85F8C"/>
    <w:rsid w:val="00E87E6A"/>
    <w:rsid w:val="00E90587"/>
    <w:rsid w:val="00E953C8"/>
    <w:rsid w:val="00E95B5E"/>
    <w:rsid w:val="00E96AB4"/>
    <w:rsid w:val="00E96B8B"/>
    <w:rsid w:val="00E96D36"/>
    <w:rsid w:val="00EA11C3"/>
    <w:rsid w:val="00EA592F"/>
    <w:rsid w:val="00EA7FCD"/>
    <w:rsid w:val="00EB1DFA"/>
    <w:rsid w:val="00EB221D"/>
    <w:rsid w:val="00EB274E"/>
    <w:rsid w:val="00EB27B6"/>
    <w:rsid w:val="00EB55EE"/>
    <w:rsid w:val="00EB5CBA"/>
    <w:rsid w:val="00EB6B0A"/>
    <w:rsid w:val="00EB7D78"/>
    <w:rsid w:val="00EC1E71"/>
    <w:rsid w:val="00EC3082"/>
    <w:rsid w:val="00EC3EF0"/>
    <w:rsid w:val="00EC437C"/>
    <w:rsid w:val="00ED2371"/>
    <w:rsid w:val="00ED245F"/>
    <w:rsid w:val="00ED4FBD"/>
    <w:rsid w:val="00ED5925"/>
    <w:rsid w:val="00ED691F"/>
    <w:rsid w:val="00ED6A1C"/>
    <w:rsid w:val="00EE0C4C"/>
    <w:rsid w:val="00EE161E"/>
    <w:rsid w:val="00EE2D27"/>
    <w:rsid w:val="00EE4244"/>
    <w:rsid w:val="00EE5FD0"/>
    <w:rsid w:val="00EE6128"/>
    <w:rsid w:val="00EE67E4"/>
    <w:rsid w:val="00EE6E88"/>
    <w:rsid w:val="00EF1BB8"/>
    <w:rsid w:val="00EF1D0F"/>
    <w:rsid w:val="00EF5C70"/>
    <w:rsid w:val="00EF6558"/>
    <w:rsid w:val="00EF7895"/>
    <w:rsid w:val="00F003B6"/>
    <w:rsid w:val="00F00674"/>
    <w:rsid w:val="00F01212"/>
    <w:rsid w:val="00F04218"/>
    <w:rsid w:val="00F0437A"/>
    <w:rsid w:val="00F04430"/>
    <w:rsid w:val="00F074C1"/>
    <w:rsid w:val="00F074D3"/>
    <w:rsid w:val="00F0753E"/>
    <w:rsid w:val="00F13778"/>
    <w:rsid w:val="00F16443"/>
    <w:rsid w:val="00F16496"/>
    <w:rsid w:val="00F23330"/>
    <w:rsid w:val="00F25A57"/>
    <w:rsid w:val="00F27991"/>
    <w:rsid w:val="00F3003D"/>
    <w:rsid w:val="00F364BF"/>
    <w:rsid w:val="00F3722D"/>
    <w:rsid w:val="00F3735B"/>
    <w:rsid w:val="00F42F5D"/>
    <w:rsid w:val="00F47374"/>
    <w:rsid w:val="00F5142F"/>
    <w:rsid w:val="00F5473E"/>
    <w:rsid w:val="00F54968"/>
    <w:rsid w:val="00F56BFF"/>
    <w:rsid w:val="00F61B3B"/>
    <w:rsid w:val="00F6439A"/>
    <w:rsid w:val="00F65B01"/>
    <w:rsid w:val="00F67A90"/>
    <w:rsid w:val="00F71806"/>
    <w:rsid w:val="00F75207"/>
    <w:rsid w:val="00F7627D"/>
    <w:rsid w:val="00F76C8D"/>
    <w:rsid w:val="00F77177"/>
    <w:rsid w:val="00F81EE3"/>
    <w:rsid w:val="00F850E3"/>
    <w:rsid w:val="00F85BF4"/>
    <w:rsid w:val="00F864D9"/>
    <w:rsid w:val="00F86DCE"/>
    <w:rsid w:val="00F87DD8"/>
    <w:rsid w:val="00F9514B"/>
    <w:rsid w:val="00F95439"/>
    <w:rsid w:val="00F95C33"/>
    <w:rsid w:val="00F96971"/>
    <w:rsid w:val="00FA1FE7"/>
    <w:rsid w:val="00FA5259"/>
    <w:rsid w:val="00FA62B9"/>
    <w:rsid w:val="00FA7B43"/>
    <w:rsid w:val="00FB09DA"/>
    <w:rsid w:val="00FC2A78"/>
    <w:rsid w:val="00FC2FBC"/>
    <w:rsid w:val="00FC5992"/>
    <w:rsid w:val="00FC6F31"/>
    <w:rsid w:val="00FD3894"/>
    <w:rsid w:val="00FD4273"/>
    <w:rsid w:val="00FE099A"/>
    <w:rsid w:val="00FE33CA"/>
    <w:rsid w:val="00FE37D1"/>
    <w:rsid w:val="00FE4BED"/>
    <w:rsid w:val="00FF58A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D6625B5"/>
  <w15:docId w15:val="{8FBE7180-F888-4FCE-A37A-72910CAA17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17644E"/>
    <w:rPr>
      <w:lang w:val="en-GB"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4"/>
    <w:pPr>
      <w:tabs>
        <w:tab w:val="center" w:pos="4153"/>
        <w:tab w:val="right" w:pos="8306"/>
      </w:tabs>
    </w:pPr>
  </w:style>
  <w:style w:type="paragraph" w:styleId="a5">
    <w:name w:val="footer"/>
    <w:basedOn w:val="a"/>
    <w:pPr>
      <w:tabs>
        <w:tab w:val="center" w:pos="4153"/>
        <w:tab w:val="right" w:pos="8306"/>
      </w:tabs>
    </w:pPr>
  </w:style>
  <w:style w:type="paragraph" w:styleId="a6">
    <w:name w:val="annotation text"/>
    <w:basedOn w:val="a"/>
    <w:link w:val="a7"/>
    <w:uiPriority w:val="99"/>
    <w:qFormat/>
    <w:pPr>
      <w:tabs>
        <w:tab w:val="left" w:pos="1418"/>
        <w:tab w:val="left" w:pos="4678"/>
        <w:tab w:val="left" w:pos="5954"/>
        <w:tab w:val="left" w:pos="7088"/>
      </w:tabs>
      <w:spacing w:after="240"/>
      <w:jc w:val="both"/>
    </w:pPr>
    <w:rPr>
      <w:rFonts w:ascii="Arial" w:hAnsi="Arial"/>
    </w:rPr>
  </w:style>
  <w:style w:type="character" w:styleId="a8">
    <w:name w:val="page number"/>
    <w:basedOn w:val="a0"/>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9">
    <w:name w:val="??"/>
    <w:pPr>
      <w:widowControl w:val="0"/>
    </w:pPr>
    <w:rPr>
      <w:lang w:eastAsia="en-US"/>
    </w:rPr>
  </w:style>
  <w:style w:type="paragraph" w:customStyle="1" w:styleId="20">
    <w:name w:val="??? 2"/>
    <w:basedOn w:val="a9"/>
    <w:next w:val="a9"/>
    <w:pPr>
      <w:keepNext/>
    </w:pPr>
    <w:rPr>
      <w:rFonts w:ascii="Arial" w:hAnsi="Arial"/>
      <w:b/>
      <w:sz w:val="24"/>
    </w:rPr>
  </w:style>
  <w:style w:type="character" w:styleId="aa">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0"/>
      </w:numPr>
      <w:pBdr>
        <w:top w:val="single" w:sz="6" w:space="1" w:color="008000"/>
        <w:left w:val="single" w:sz="6" w:space="4" w:color="008000"/>
        <w:bottom w:val="single" w:sz="6" w:space="1" w:color="008000"/>
        <w:right w:val="single" w:sz="6" w:space="4" w:color="008000"/>
      </w:pBdr>
      <w:tabs>
        <w:tab w:val="num" w:pos="360"/>
        <w:tab w:val="num" w:pos="1125"/>
      </w:tabs>
      <w:ind w:left="340" w:hanging="340"/>
    </w:pPr>
    <w:rPr>
      <w:color w:val="008000"/>
    </w:rPr>
  </w:style>
  <w:style w:type="paragraph" w:customStyle="1" w:styleId="NotDone">
    <w:name w:val="Not Done"/>
    <w:basedOn w:val="done"/>
    <w:pPr>
      <w:tabs>
        <w:tab w:val="clear" w:pos="360"/>
        <w:tab w:val="num" w:pos="0"/>
      </w:tabs>
      <w:ind w:left="1728" w:hanging="288"/>
    </w:pPr>
    <w:rPr>
      <w:color w:val="FF0000"/>
    </w:rPr>
  </w:style>
  <w:style w:type="paragraph" w:styleId="ab">
    <w:name w:val="Body Text"/>
    <w:basedOn w:val="a"/>
    <w:rPr>
      <w:rFonts w:ascii="Arial" w:hAnsi="Arial" w:cs="Arial"/>
      <w:color w:val="FF0000"/>
    </w:rPr>
  </w:style>
  <w:style w:type="paragraph" w:styleId="ac">
    <w:name w:val="Balloon Text"/>
    <w:basedOn w:val="a"/>
    <w:semiHidden/>
    <w:rsid w:val="005A6C01"/>
    <w:rPr>
      <w:rFonts w:ascii="Tahoma" w:hAnsi="Tahoma" w:cs="Tahoma"/>
      <w:sz w:val="16"/>
      <w:szCs w:val="16"/>
    </w:rPr>
  </w:style>
  <w:style w:type="paragraph" w:styleId="ad">
    <w:name w:val="Document Map"/>
    <w:basedOn w:val="a"/>
    <w:link w:val="ae"/>
    <w:rsid w:val="00C21C7F"/>
    <w:rPr>
      <w:rFonts w:ascii="Tahoma" w:hAnsi="Tahoma" w:cs="Tahoma"/>
      <w:sz w:val="16"/>
      <w:szCs w:val="16"/>
    </w:rPr>
  </w:style>
  <w:style w:type="character" w:customStyle="1" w:styleId="ae">
    <w:name w:val="文档结构图 字符"/>
    <w:link w:val="ad"/>
    <w:rsid w:val="00C21C7F"/>
    <w:rPr>
      <w:rFonts w:ascii="Tahoma" w:hAnsi="Tahoma" w:cs="Tahoma"/>
      <w:sz w:val="16"/>
      <w:szCs w:val="16"/>
      <w:lang w:val="en-GB" w:eastAsia="en-US"/>
    </w:rPr>
  </w:style>
  <w:style w:type="paragraph" w:styleId="af">
    <w:name w:val="annotation subject"/>
    <w:basedOn w:val="a6"/>
    <w:next w:val="a6"/>
    <w:link w:val="af0"/>
    <w:rsid w:val="00160E57"/>
    <w:pPr>
      <w:tabs>
        <w:tab w:val="clear" w:pos="1418"/>
        <w:tab w:val="clear" w:pos="4678"/>
        <w:tab w:val="clear" w:pos="5954"/>
        <w:tab w:val="clear" w:pos="7088"/>
      </w:tabs>
      <w:spacing w:after="0"/>
      <w:jc w:val="left"/>
    </w:pPr>
    <w:rPr>
      <w:rFonts w:ascii="Times New Roman" w:hAnsi="Times New Roman"/>
      <w:b/>
      <w:bCs/>
    </w:rPr>
  </w:style>
  <w:style w:type="character" w:customStyle="1" w:styleId="a7">
    <w:name w:val="批注文字 字符"/>
    <w:link w:val="a6"/>
    <w:uiPriority w:val="99"/>
    <w:qFormat/>
    <w:rsid w:val="00160E57"/>
    <w:rPr>
      <w:rFonts w:ascii="Arial" w:hAnsi="Arial"/>
      <w:lang w:val="en-GB" w:eastAsia="en-US"/>
    </w:rPr>
  </w:style>
  <w:style w:type="character" w:customStyle="1" w:styleId="af0">
    <w:name w:val="批注主题 字符"/>
    <w:link w:val="af"/>
    <w:rsid w:val="00160E57"/>
    <w:rPr>
      <w:rFonts w:ascii="Arial" w:hAnsi="Arial"/>
      <w:lang w:val="en-GB" w:eastAsia="en-US"/>
    </w:rPr>
  </w:style>
  <w:style w:type="paragraph" w:styleId="af1">
    <w:name w:val="caption"/>
    <w:basedOn w:val="a"/>
    <w:next w:val="a"/>
    <w:qFormat/>
    <w:rsid w:val="000B0177"/>
    <w:rPr>
      <w:b/>
      <w:bCs/>
      <w:sz w:val="21"/>
      <w:szCs w:val="21"/>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4F77E0"/>
    <w:rPr>
      <w:rFonts w:eastAsia="宋体"/>
      <w:lang w:val="en-GB" w:eastAsia="en-US" w:bidi="ar-SA"/>
    </w:rPr>
  </w:style>
  <w:style w:type="paragraph" w:customStyle="1" w:styleId="Comments">
    <w:name w:val="Comments"/>
    <w:basedOn w:val="a"/>
    <w:link w:val="CommentsChar"/>
    <w:qFormat/>
    <w:rsid w:val="00261173"/>
    <w:rPr>
      <w:rFonts w:ascii="Arial" w:eastAsia="MS Mincho" w:hAnsi="Arial"/>
      <w:i/>
      <w:sz w:val="16"/>
      <w:szCs w:val="24"/>
      <w:lang w:eastAsia="en-GB"/>
    </w:rPr>
  </w:style>
  <w:style w:type="character" w:customStyle="1" w:styleId="CommentsChar">
    <w:name w:val="Comments Char"/>
    <w:link w:val="Comments"/>
    <w:rsid w:val="00261173"/>
    <w:rPr>
      <w:rFonts w:ascii="Arial" w:eastAsia="MS Mincho" w:hAnsi="Arial"/>
      <w:i/>
      <w:sz w:val="16"/>
      <w:szCs w:val="24"/>
      <w:lang w:val="en-GB" w:eastAsia="en-GB" w:bidi="ar-SA"/>
    </w:rPr>
  </w:style>
  <w:style w:type="paragraph" w:customStyle="1" w:styleId="Doc-text2">
    <w:name w:val="Doc-text2"/>
    <w:basedOn w:val="a"/>
    <w:link w:val="Doc-text2Char"/>
    <w:qFormat/>
    <w:rsid w:val="00261173"/>
    <w:pPr>
      <w:tabs>
        <w:tab w:val="left" w:pos="1622"/>
      </w:tabs>
      <w:ind w:left="1622" w:hanging="363"/>
    </w:pPr>
    <w:rPr>
      <w:rFonts w:ascii="Arial" w:eastAsia="MS Mincho" w:hAnsi="Arial"/>
      <w:szCs w:val="24"/>
      <w:lang w:eastAsia="en-GB"/>
    </w:rPr>
  </w:style>
  <w:style w:type="character" w:customStyle="1" w:styleId="Doc-text2Char">
    <w:name w:val="Doc-text2 Char"/>
    <w:link w:val="Doc-text2"/>
    <w:rsid w:val="00261173"/>
    <w:rPr>
      <w:rFonts w:ascii="Arial" w:eastAsia="MS Mincho" w:hAnsi="Arial"/>
      <w:szCs w:val="24"/>
      <w:lang w:val="en-GB" w:eastAsia="en-GB" w:bidi="ar-SA"/>
    </w:rPr>
  </w:style>
  <w:style w:type="table" w:styleId="af2">
    <w:name w:val="Table Grid"/>
    <w:basedOn w:val="a1"/>
    <w:qFormat/>
    <w:rsid w:val="009255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Zchn"/>
    <w:qFormat/>
    <w:rsid w:val="00002E91"/>
    <w:pPr>
      <w:spacing w:after="120"/>
    </w:pPr>
    <w:rPr>
      <w:rFonts w:ascii="Arial" w:eastAsia="MS Mincho" w:hAnsi="Arial"/>
      <w:lang w:val="en-GB" w:eastAsia="en-US"/>
    </w:rPr>
  </w:style>
  <w:style w:type="character" w:customStyle="1" w:styleId="st">
    <w:name w:val="st"/>
    <w:rsid w:val="008D7C95"/>
  </w:style>
  <w:style w:type="paragraph" w:customStyle="1" w:styleId="Tabletext">
    <w:name w:val="Table_text"/>
    <w:basedOn w:val="a"/>
    <w:link w:val="TabletextChar"/>
    <w:rsid w:val="009F1358"/>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MS Mincho"/>
    </w:rPr>
  </w:style>
  <w:style w:type="paragraph" w:customStyle="1" w:styleId="Tablehead">
    <w:name w:val="Table_head"/>
    <w:basedOn w:val="a"/>
    <w:link w:val="TableheadChar"/>
    <w:rsid w:val="009F1358"/>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eastAsia="MS Mincho" w:hAnsi="Times New Roman Bold" w:cs="Times New Roman Bold"/>
      <w:b/>
    </w:rPr>
  </w:style>
  <w:style w:type="paragraph" w:customStyle="1" w:styleId="TableNo">
    <w:name w:val="Table_No"/>
    <w:basedOn w:val="a"/>
    <w:next w:val="a"/>
    <w:link w:val="TableNoChar"/>
    <w:rsid w:val="009F1358"/>
    <w:pPr>
      <w:keepNext/>
      <w:tabs>
        <w:tab w:val="left" w:pos="1134"/>
        <w:tab w:val="left" w:pos="1871"/>
        <w:tab w:val="left" w:pos="2268"/>
      </w:tabs>
      <w:overflowPunct w:val="0"/>
      <w:autoSpaceDE w:val="0"/>
      <w:autoSpaceDN w:val="0"/>
      <w:adjustRightInd w:val="0"/>
      <w:spacing w:before="560" w:after="120"/>
      <w:jc w:val="center"/>
      <w:textAlignment w:val="baseline"/>
    </w:pPr>
    <w:rPr>
      <w:rFonts w:eastAsia="MS Mincho"/>
      <w:caps/>
    </w:rPr>
  </w:style>
  <w:style w:type="paragraph" w:customStyle="1" w:styleId="Tabletitle">
    <w:name w:val="Table_title"/>
    <w:basedOn w:val="a"/>
    <w:next w:val="Tabletext"/>
    <w:link w:val="TabletitleChar"/>
    <w:rsid w:val="009F135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S Mincho" w:hAnsi="Times New Roman Bold"/>
      <w:b/>
    </w:rPr>
  </w:style>
  <w:style w:type="character" w:customStyle="1" w:styleId="TabletextChar">
    <w:name w:val="Table_text Char"/>
    <w:link w:val="Tabletext"/>
    <w:locked/>
    <w:rsid w:val="009F1358"/>
    <w:rPr>
      <w:rFonts w:eastAsia="MS Mincho"/>
      <w:lang w:val="en-GB" w:eastAsia="en-US"/>
    </w:rPr>
  </w:style>
  <w:style w:type="character" w:customStyle="1" w:styleId="TabletitleChar">
    <w:name w:val="Table_title Char"/>
    <w:link w:val="Tabletitle"/>
    <w:locked/>
    <w:rsid w:val="009F1358"/>
    <w:rPr>
      <w:rFonts w:ascii="Times New Roman Bold" w:eastAsia="MS Mincho" w:hAnsi="Times New Roman Bold"/>
      <w:b/>
      <w:lang w:val="en-GB" w:eastAsia="en-US"/>
    </w:rPr>
  </w:style>
  <w:style w:type="character" w:customStyle="1" w:styleId="TableNoChar">
    <w:name w:val="Table_No Char"/>
    <w:link w:val="TableNo"/>
    <w:locked/>
    <w:rsid w:val="009F1358"/>
    <w:rPr>
      <w:rFonts w:eastAsia="MS Mincho"/>
      <w:caps/>
      <w:lang w:val="en-GB" w:eastAsia="en-US"/>
    </w:rPr>
  </w:style>
  <w:style w:type="character" w:customStyle="1" w:styleId="TableheadChar">
    <w:name w:val="Table_head Char"/>
    <w:link w:val="Tablehead"/>
    <w:locked/>
    <w:rsid w:val="009F1358"/>
    <w:rPr>
      <w:rFonts w:ascii="Times New Roman Bold" w:eastAsia="MS Mincho" w:hAnsi="Times New Roman Bold" w:cs="Times New Roman Bold"/>
      <w:b/>
      <w:lang w:val="en-GB" w:eastAsia="en-US"/>
    </w:rPr>
  </w:style>
  <w:style w:type="character" w:styleId="af3">
    <w:name w:val="footnote reference"/>
    <w:aliases w:val="Appel note de bas de p,Footnote Reference/,Footnote symbol,Style 12,(NECG) Footnote Reference,Style 124,Appel note de bas de p + 11 pt,Italic,Appel note de bas de p1,Appel note de bas de p2,Appel note de bas de p3,Footnote,o,fr,Ref,FR"/>
    <w:uiPriority w:val="99"/>
    <w:rsid w:val="0077178E"/>
    <w:rPr>
      <w:position w:val="6"/>
      <w:sz w:val="18"/>
    </w:rPr>
  </w:style>
  <w:style w:type="paragraph" w:styleId="af4">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列出段落,Task Body"/>
    <w:basedOn w:val="a"/>
    <w:link w:val="af5"/>
    <w:uiPriority w:val="34"/>
    <w:qFormat/>
    <w:rsid w:val="00806C5B"/>
    <w:pPr>
      <w:ind w:leftChars="400" w:left="840" w:hanging="720"/>
    </w:pPr>
    <w:rPr>
      <w:rFonts w:ascii="Times" w:eastAsia="Batang" w:hAnsi="Times"/>
      <w:szCs w:val="24"/>
      <w:lang w:eastAsia="x-none"/>
    </w:rPr>
  </w:style>
  <w:style w:type="character" w:customStyle="1" w:styleId="af5">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4"/>
    <w:uiPriority w:val="34"/>
    <w:qFormat/>
    <w:rsid w:val="00806C5B"/>
    <w:rPr>
      <w:rFonts w:ascii="Times" w:eastAsia="Batang" w:hAnsi="Times"/>
      <w:szCs w:val="24"/>
      <w:lang w:val="en-GB" w:eastAsia="x-none"/>
    </w:rPr>
  </w:style>
  <w:style w:type="character" w:styleId="af6">
    <w:name w:val="Hyperlink"/>
    <w:uiPriority w:val="99"/>
    <w:unhideWhenUsed/>
    <w:rsid w:val="009F52ED"/>
    <w:rPr>
      <w:color w:val="0000FF"/>
      <w:u w:val="single"/>
    </w:rPr>
  </w:style>
  <w:style w:type="paragraph" w:customStyle="1" w:styleId="TAL">
    <w:name w:val="TAL"/>
    <w:basedOn w:val="a"/>
    <w:link w:val="TALCar"/>
    <w:qFormat/>
    <w:rsid w:val="00DB2A72"/>
    <w:pPr>
      <w:keepNext/>
      <w:keepLines/>
    </w:pPr>
    <w:rPr>
      <w:rFonts w:ascii="Arial" w:eastAsia="Malgun Gothic" w:hAnsi="Arial"/>
      <w:sz w:val="18"/>
    </w:rPr>
  </w:style>
  <w:style w:type="paragraph" w:customStyle="1" w:styleId="TAH">
    <w:name w:val="TAH"/>
    <w:basedOn w:val="a"/>
    <w:link w:val="TAHCar"/>
    <w:qFormat/>
    <w:rsid w:val="00DB2A72"/>
    <w:pPr>
      <w:keepNext/>
      <w:keepLines/>
      <w:jc w:val="center"/>
    </w:pPr>
    <w:rPr>
      <w:rFonts w:ascii="Arial" w:eastAsia="Malgun Gothic" w:hAnsi="Arial"/>
      <w:b/>
      <w:sz w:val="18"/>
      <w:lang w:val="x-none"/>
    </w:rPr>
  </w:style>
  <w:style w:type="character" w:customStyle="1" w:styleId="TALCar">
    <w:name w:val="TAL Car"/>
    <w:link w:val="TAL"/>
    <w:qFormat/>
    <w:rsid w:val="00DB2A72"/>
    <w:rPr>
      <w:rFonts w:ascii="Arial" w:eastAsia="Malgun Gothic" w:hAnsi="Arial"/>
      <w:sz w:val="18"/>
      <w:lang w:val="en-GB" w:eastAsia="en-US"/>
    </w:rPr>
  </w:style>
  <w:style w:type="character" w:customStyle="1" w:styleId="TAHCar">
    <w:name w:val="TAH Car"/>
    <w:link w:val="TAH"/>
    <w:qFormat/>
    <w:locked/>
    <w:rsid w:val="00DB2A72"/>
    <w:rPr>
      <w:rFonts w:ascii="Arial" w:eastAsia="Malgun Gothic" w:hAnsi="Arial"/>
      <w:b/>
      <w:sz w:val="18"/>
      <w:lang w:val="x-none" w:eastAsia="en-US"/>
    </w:rPr>
  </w:style>
  <w:style w:type="character" w:customStyle="1" w:styleId="UnresolvedMention1">
    <w:name w:val="Unresolved Mention1"/>
    <w:basedOn w:val="a0"/>
    <w:uiPriority w:val="99"/>
    <w:semiHidden/>
    <w:unhideWhenUsed/>
    <w:rsid w:val="00576D55"/>
    <w:rPr>
      <w:color w:val="605E5C"/>
      <w:shd w:val="clear" w:color="auto" w:fill="E1DFDD"/>
    </w:rPr>
  </w:style>
  <w:style w:type="character" w:customStyle="1" w:styleId="apple-converted-space">
    <w:name w:val="apple-converted-space"/>
    <w:basedOn w:val="a0"/>
    <w:rsid w:val="0017644E"/>
  </w:style>
  <w:style w:type="character" w:customStyle="1" w:styleId="CRCoverPageZchn">
    <w:name w:val="CR Cover Page Zchn"/>
    <w:link w:val="CRCoverPage"/>
    <w:qFormat/>
    <w:rsid w:val="001B17C6"/>
    <w:rPr>
      <w:rFonts w:ascii="Arial" w:eastAsia="MS Mincho" w:hAnsi="Arial"/>
      <w:lang w:val="en-GB" w:eastAsia="en-US"/>
    </w:rPr>
  </w:style>
  <w:style w:type="paragraph" w:customStyle="1" w:styleId="B4">
    <w:name w:val="B4"/>
    <w:basedOn w:val="a"/>
    <w:link w:val="B4Char"/>
    <w:qFormat/>
    <w:rsid w:val="00CD186F"/>
    <w:pPr>
      <w:spacing w:after="180"/>
      <w:ind w:left="1418" w:hanging="284"/>
    </w:pPr>
  </w:style>
  <w:style w:type="character" w:customStyle="1" w:styleId="B4Char">
    <w:name w:val="B4 Char"/>
    <w:link w:val="B4"/>
    <w:qFormat/>
    <w:rsid w:val="00CD186F"/>
    <w:rPr>
      <w:lang w:val="en-GB" w:eastAsia="en-US"/>
    </w:rPr>
  </w:style>
  <w:style w:type="paragraph" w:customStyle="1" w:styleId="EditorsNote">
    <w:name w:val="Editor's Note"/>
    <w:basedOn w:val="a"/>
    <w:rsid w:val="00CD186F"/>
    <w:pPr>
      <w:keepLines/>
      <w:spacing w:after="180"/>
      <w:ind w:left="1135" w:hanging="851"/>
    </w:pPr>
    <w:rPr>
      <w:color w:val="FF0000"/>
    </w:rPr>
  </w:style>
  <w:style w:type="paragraph" w:customStyle="1" w:styleId="PL">
    <w:name w:val="PL"/>
    <w:qFormat/>
    <w:rsid w:val="00CD18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styleId="af7">
    <w:name w:val="footnote text"/>
    <w:basedOn w:val="a"/>
    <w:link w:val="af8"/>
    <w:semiHidden/>
    <w:unhideWhenUsed/>
    <w:rsid w:val="001B703D"/>
    <w:pPr>
      <w:snapToGrid w:val="0"/>
    </w:pPr>
    <w:rPr>
      <w:sz w:val="18"/>
      <w:szCs w:val="18"/>
    </w:rPr>
  </w:style>
  <w:style w:type="character" w:customStyle="1" w:styleId="af8">
    <w:name w:val="脚注文本 字符"/>
    <w:basedOn w:val="a0"/>
    <w:link w:val="af7"/>
    <w:semiHidden/>
    <w:rsid w:val="001B703D"/>
    <w:rPr>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427724">
      <w:bodyDiv w:val="1"/>
      <w:marLeft w:val="0"/>
      <w:marRight w:val="0"/>
      <w:marTop w:val="0"/>
      <w:marBottom w:val="0"/>
      <w:divBdr>
        <w:top w:val="none" w:sz="0" w:space="0" w:color="auto"/>
        <w:left w:val="none" w:sz="0" w:space="0" w:color="auto"/>
        <w:bottom w:val="none" w:sz="0" w:space="0" w:color="auto"/>
        <w:right w:val="none" w:sz="0" w:space="0" w:color="auto"/>
      </w:divBdr>
    </w:div>
    <w:div w:id="20085602">
      <w:bodyDiv w:val="1"/>
      <w:marLeft w:val="0"/>
      <w:marRight w:val="0"/>
      <w:marTop w:val="0"/>
      <w:marBottom w:val="0"/>
      <w:divBdr>
        <w:top w:val="none" w:sz="0" w:space="0" w:color="auto"/>
        <w:left w:val="none" w:sz="0" w:space="0" w:color="auto"/>
        <w:bottom w:val="none" w:sz="0" w:space="0" w:color="auto"/>
        <w:right w:val="none" w:sz="0" w:space="0" w:color="auto"/>
      </w:divBdr>
    </w:div>
    <w:div w:id="31267581">
      <w:bodyDiv w:val="1"/>
      <w:marLeft w:val="0"/>
      <w:marRight w:val="0"/>
      <w:marTop w:val="0"/>
      <w:marBottom w:val="0"/>
      <w:divBdr>
        <w:top w:val="none" w:sz="0" w:space="0" w:color="auto"/>
        <w:left w:val="none" w:sz="0" w:space="0" w:color="auto"/>
        <w:bottom w:val="none" w:sz="0" w:space="0" w:color="auto"/>
        <w:right w:val="none" w:sz="0" w:space="0" w:color="auto"/>
      </w:divBdr>
    </w:div>
    <w:div w:id="109395270">
      <w:bodyDiv w:val="1"/>
      <w:marLeft w:val="0"/>
      <w:marRight w:val="0"/>
      <w:marTop w:val="0"/>
      <w:marBottom w:val="0"/>
      <w:divBdr>
        <w:top w:val="none" w:sz="0" w:space="0" w:color="auto"/>
        <w:left w:val="none" w:sz="0" w:space="0" w:color="auto"/>
        <w:bottom w:val="none" w:sz="0" w:space="0" w:color="auto"/>
        <w:right w:val="none" w:sz="0" w:space="0" w:color="auto"/>
      </w:divBdr>
      <w:divsChild>
        <w:div w:id="293946413">
          <w:marLeft w:val="547"/>
          <w:marRight w:val="0"/>
          <w:marTop w:val="144"/>
          <w:marBottom w:val="0"/>
          <w:divBdr>
            <w:top w:val="none" w:sz="0" w:space="0" w:color="auto"/>
            <w:left w:val="none" w:sz="0" w:space="0" w:color="auto"/>
            <w:bottom w:val="none" w:sz="0" w:space="0" w:color="auto"/>
            <w:right w:val="none" w:sz="0" w:space="0" w:color="auto"/>
          </w:divBdr>
        </w:div>
        <w:div w:id="1127242846">
          <w:marLeft w:val="1166"/>
          <w:marRight w:val="0"/>
          <w:marTop w:val="125"/>
          <w:marBottom w:val="0"/>
          <w:divBdr>
            <w:top w:val="none" w:sz="0" w:space="0" w:color="auto"/>
            <w:left w:val="none" w:sz="0" w:space="0" w:color="auto"/>
            <w:bottom w:val="none" w:sz="0" w:space="0" w:color="auto"/>
            <w:right w:val="none" w:sz="0" w:space="0" w:color="auto"/>
          </w:divBdr>
        </w:div>
        <w:div w:id="1539272911">
          <w:marLeft w:val="547"/>
          <w:marRight w:val="0"/>
          <w:marTop w:val="144"/>
          <w:marBottom w:val="0"/>
          <w:divBdr>
            <w:top w:val="none" w:sz="0" w:space="0" w:color="auto"/>
            <w:left w:val="none" w:sz="0" w:space="0" w:color="auto"/>
            <w:bottom w:val="none" w:sz="0" w:space="0" w:color="auto"/>
            <w:right w:val="none" w:sz="0" w:space="0" w:color="auto"/>
          </w:divBdr>
        </w:div>
        <w:div w:id="1570114722">
          <w:marLeft w:val="1166"/>
          <w:marRight w:val="0"/>
          <w:marTop w:val="125"/>
          <w:marBottom w:val="0"/>
          <w:divBdr>
            <w:top w:val="none" w:sz="0" w:space="0" w:color="auto"/>
            <w:left w:val="none" w:sz="0" w:space="0" w:color="auto"/>
            <w:bottom w:val="none" w:sz="0" w:space="0" w:color="auto"/>
            <w:right w:val="none" w:sz="0" w:space="0" w:color="auto"/>
          </w:divBdr>
        </w:div>
      </w:divsChild>
    </w:div>
    <w:div w:id="280695338">
      <w:bodyDiv w:val="1"/>
      <w:marLeft w:val="0"/>
      <w:marRight w:val="0"/>
      <w:marTop w:val="0"/>
      <w:marBottom w:val="0"/>
      <w:divBdr>
        <w:top w:val="none" w:sz="0" w:space="0" w:color="auto"/>
        <w:left w:val="none" w:sz="0" w:space="0" w:color="auto"/>
        <w:bottom w:val="none" w:sz="0" w:space="0" w:color="auto"/>
        <w:right w:val="none" w:sz="0" w:space="0" w:color="auto"/>
      </w:divBdr>
    </w:div>
    <w:div w:id="648020707">
      <w:bodyDiv w:val="1"/>
      <w:marLeft w:val="0"/>
      <w:marRight w:val="0"/>
      <w:marTop w:val="0"/>
      <w:marBottom w:val="0"/>
      <w:divBdr>
        <w:top w:val="none" w:sz="0" w:space="0" w:color="auto"/>
        <w:left w:val="none" w:sz="0" w:space="0" w:color="auto"/>
        <w:bottom w:val="none" w:sz="0" w:space="0" w:color="auto"/>
        <w:right w:val="none" w:sz="0" w:space="0" w:color="auto"/>
      </w:divBdr>
      <w:divsChild>
        <w:div w:id="1096902991">
          <w:marLeft w:val="1800"/>
          <w:marRight w:val="0"/>
          <w:marTop w:val="100"/>
          <w:marBottom w:val="0"/>
          <w:divBdr>
            <w:top w:val="none" w:sz="0" w:space="0" w:color="auto"/>
            <w:left w:val="none" w:sz="0" w:space="0" w:color="auto"/>
            <w:bottom w:val="none" w:sz="0" w:space="0" w:color="auto"/>
            <w:right w:val="none" w:sz="0" w:space="0" w:color="auto"/>
          </w:divBdr>
        </w:div>
      </w:divsChild>
    </w:div>
    <w:div w:id="702292829">
      <w:bodyDiv w:val="1"/>
      <w:marLeft w:val="0"/>
      <w:marRight w:val="0"/>
      <w:marTop w:val="0"/>
      <w:marBottom w:val="0"/>
      <w:divBdr>
        <w:top w:val="none" w:sz="0" w:space="0" w:color="auto"/>
        <w:left w:val="none" w:sz="0" w:space="0" w:color="auto"/>
        <w:bottom w:val="none" w:sz="0" w:space="0" w:color="auto"/>
        <w:right w:val="none" w:sz="0" w:space="0" w:color="auto"/>
      </w:divBdr>
    </w:div>
    <w:div w:id="744718021">
      <w:bodyDiv w:val="1"/>
      <w:marLeft w:val="0"/>
      <w:marRight w:val="0"/>
      <w:marTop w:val="0"/>
      <w:marBottom w:val="0"/>
      <w:divBdr>
        <w:top w:val="none" w:sz="0" w:space="0" w:color="auto"/>
        <w:left w:val="none" w:sz="0" w:space="0" w:color="auto"/>
        <w:bottom w:val="none" w:sz="0" w:space="0" w:color="auto"/>
        <w:right w:val="none" w:sz="0" w:space="0" w:color="auto"/>
      </w:divBdr>
      <w:divsChild>
        <w:div w:id="439642174">
          <w:marLeft w:val="0"/>
          <w:marRight w:val="0"/>
          <w:marTop w:val="0"/>
          <w:marBottom w:val="0"/>
          <w:divBdr>
            <w:top w:val="none" w:sz="0" w:space="0" w:color="auto"/>
            <w:left w:val="none" w:sz="0" w:space="0" w:color="auto"/>
            <w:bottom w:val="none" w:sz="0" w:space="0" w:color="auto"/>
            <w:right w:val="none" w:sz="0" w:space="0" w:color="auto"/>
          </w:divBdr>
        </w:div>
      </w:divsChild>
    </w:div>
    <w:div w:id="857309094">
      <w:bodyDiv w:val="1"/>
      <w:marLeft w:val="0"/>
      <w:marRight w:val="0"/>
      <w:marTop w:val="0"/>
      <w:marBottom w:val="0"/>
      <w:divBdr>
        <w:top w:val="none" w:sz="0" w:space="0" w:color="auto"/>
        <w:left w:val="none" w:sz="0" w:space="0" w:color="auto"/>
        <w:bottom w:val="none" w:sz="0" w:space="0" w:color="auto"/>
        <w:right w:val="none" w:sz="0" w:space="0" w:color="auto"/>
      </w:divBdr>
    </w:div>
    <w:div w:id="971248329">
      <w:bodyDiv w:val="1"/>
      <w:marLeft w:val="0"/>
      <w:marRight w:val="0"/>
      <w:marTop w:val="0"/>
      <w:marBottom w:val="0"/>
      <w:divBdr>
        <w:top w:val="none" w:sz="0" w:space="0" w:color="auto"/>
        <w:left w:val="none" w:sz="0" w:space="0" w:color="auto"/>
        <w:bottom w:val="none" w:sz="0" w:space="0" w:color="auto"/>
        <w:right w:val="none" w:sz="0" w:space="0" w:color="auto"/>
      </w:divBdr>
    </w:div>
    <w:div w:id="993607941">
      <w:bodyDiv w:val="1"/>
      <w:marLeft w:val="0"/>
      <w:marRight w:val="0"/>
      <w:marTop w:val="0"/>
      <w:marBottom w:val="0"/>
      <w:divBdr>
        <w:top w:val="none" w:sz="0" w:space="0" w:color="auto"/>
        <w:left w:val="none" w:sz="0" w:space="0" w:color="auto"/>
        <w:bottom w:val="none" w:sz="0" w:space="0" w:color="auto"/>
        <w:right w:val="none" w:sz="0" w:space="0" w:color="auto"/>
      </w:divBdr>
    </w:div>
    <w:div w:id="1013607209">
      <w:bodyDiv w:val="1"/>
      <w:marLeft w:val="0"/>
      <w:marRight w:val="0"/>
      <w:marTop w:val="0"/>
      <w:marBottom w:val="0"/>
      <w:divBdr>
        <w:top w:val="none" w:sz="0" w:space="0" w:color="auto"/>
        <w:left w:val="none" w:sz="0" w:space="0" w:color="auto"/>
        <w:bottom w:val="none" w:sz="0" w:space="0" w:color="auto"/>
        <w:right w:val="none" w:sz="0" w:space="0" w:color="auto"/>
      </w:divBdr>
      <w:divsChild>
        <w:div w:id="318969478">
          <w:marLeft w:val="1166"/>
          <w:marRight w:val="0"/>
          <w:marTop w:val="125"/>
          <w:marBottom w:val="0"/>
          <w:divBdr>
            <w:top w:val="none" w:sz="0" w:space="0" w:color="auto"/>
            <w:left w:val="none" w:sz="0" w:space="0" w:color="auto"/>
            <w:bottom w:val="none" w:sz="0" w:space="0" w:color="auto"/>
            <w:right w:val="none" w:sz="0" w:space="0" w:color="auto"/>
          </w:divBdr>
        </w:div>
        <w:div w:id="584144300">
          <w:marLeft w:val="547"/>
          <w:marRight w:val="0"/>
          <w:marTop w:val="144"/>
          <w:marBottom w:val="0"/>
          <w:divBdr>
            <w:top w:val="none" w:sz="0" w:space="0" w:color="auto"/>
            <w:left w:val="none" w:sz="0" w:space="0" w:color="auto"/>
            <w:bottom w:val="none" w:sz="0" w:space="0" w:color="auto"/>
            <w:right w:val="none" w:sz="0" w:space="0" w:color="auto"/>
          </w:divBdr>
        </w:div>
        <w:div w:id="879821595">
          <w:marLeft w:val="547"/>
          <w:marRight w:val="0"/>
          <w:marTop w:val="144"/>
          <w:marBottom w:val="0"/>
          <w:divBdr>
            <w:top w:val="none" w:sz="0" w:space="0" w:color="auto"/>
            <w:left w:val="none" w:sz="0" w:space="0" w:color="auto"/>
            <w:bottom w:val="none" w:sz="0" w:space="0" w:color="auto"/>
            <w:right w:val="none" w:sz="0" w:space="0" w:color="auto"/>
          </w:divBdr>
        </w:div>
        <w:div w:id="914557446">
          <w:marLeft w:val="1166"/>
          <w:marRight w:val="0"/>
          <w:marTop w:val="125"/>
          <w:marBottom w:val="0"/>
          <w:divBdr>
            <w:top w:val="none" w:sz="0" w:space="0" w:color="auto"/>
            <w:left w:val="none" w:sz="0" w:space="0" w:color="auto"/>
            <w:bottom w:val="none" w:sz="0" w:space="0" w:color="auto"/>
            <w:right w:val="none" w:sz="0" w:space="0" w:color="auto"/>
          </w:divBdr>
        </w:div>
      </w:divsChild>
    </w:div>
    <w:div w:id="1147940517">
      <w:bodyDiv w:val="1"/>
      <w:marLeft w:val="0"/>
      <w:marRight w:val="0"/>
      <w:marTop w:val="0"/>
      <w:marBottom w:val="0"/>
      <w:divBdr>
        <w:top w:val="none" w:sz="0" w:space="0" w:color="auto"/>
        <w:left w:val="none" w:sz="0" w:space="0" w:color="auto"/>
        <w:bottom w:val="none" w:sz="0" w:space="0" w:color="auto"/>
        <w:right w:val="none" w:sz="0" w:space="0" w:color="auto"/>
      </w:divBdr>
      <w:divsChild>
        <w:div w:id="1199316218">
          <w:marLeft w:val="0"/>
          <w:marRight w:val="0"/>
          <w:marTop w:val="0"/>
          <w:marBottom w:val="0"/>
          <w:divBdr>
            <w:top w:val="none" w:sz="0" w:space="0" w:color="auto"/>
            <w:left w:val="none" w:sz="0" w:space="0" w:color="auto"/>
            <w:bottom w:val="none" w:sz="0" w:space="0" w:color="auto"/>
            <w:right w:val="none" w:sz="0" w:space="0" w:color="auto"/>
          </w:divBdr>
        </w:div>
      </w:divsChild>
    </w:div>
    <w:div w:id="1292591087">
      <w:bodyDiv w:val="1"/>
      <w:marLeft w:val="0"/>
      <w:marRight w:val="0"/>
      <w:marTop w:val="0"/>
      <w:marBottom w:val="0"/>
      <w:divBdr>
        <w:top w:val="none" w:sz="0" w:space="0" w:color="auto"/>
        <w:left w:val="none" w:sz="0" w:space="0" w:color="auto"/>
        <w:bottom w:val="none" w:sz="0" w:space="0" w:color="auto"/>
        <w:right w:val="none" w:sz="0" w:space="0" w:color="auto"/>
      </w:divBdr>
    </w:div>
    <w:div w:id="1299073864">
      <w:bodyDiv w:val="1"/>
      <w:marLeft w:val="0"/>
      <w:marRight w:val="0"/>
      <w:marTop w:val="0"/>
      <w:marBottom w:val="0"/>
      <w:divBdr>
        <w:top w:val="none" w:sz="0" w:space="0" w:color="auto"/>
        <w:left w:val="none" w:sz="0" w:space="0" w:color="auto"/>
        <w:bottom w:val="none" w:sz="0" w:space="0" w:color="auto"/>
        <w:right w:val="none" w:sz="0" w:space="0" w:color="auto"/>
      </w:divBdr>
    </w:div>
    <w:div w:id="1455636824">
      <w:bodyDiv w:val="1"/>
      <w:marLeft w:val="0"/>
      <w:marRight w:val="0"/>
      <w:marTop w:val="0"/>
      <w:marBottom w:val="0"/>
      <w:divBdr>
        <w:top w:val="none" w:sz="0" w:space="0" w:color="auto"/>
        <w:left w:val="none" w:sz="0" w:space="0" w:color="auto"/>
        <w:bottom w:val="none" w:sz="0" w:space="0" w:color="auto"/>
        <w:right w:val="none" w:sz="0" w:space="0" w:color="auto"/>
      </w:divBdr>
    </w:div>
    <w:div w:id="1542596252">
      <w:bodyDiv w:val="1"/>
      <w:marLeft w:val="0"/>
      <w:marRight w:val="0"/>
      <w:marTop w:val="0"/>
      <w:marBottom w:val="0"/>
      <w:divBdr>
        <w:top w:val="none" w:sz="0" w:space="0" w:color="auto"/>
        <w:left w:val="none" w:sz="0" w:space="0" w:color="auto"/>
        <w:bottom w:val="none" w:sz="0" w:space="0" w:color="auto"/>
        <w:right w:val="none" w:sz="0" w:space="0" w:color="auto"/>
      </w:divBdr>
    </w:div>
    <w:div w:id="1613127526">
      <w:bodyDiv w:val="1"/>
      <w:marLeft w:val="0"/>
      <w:marRight w:val="0"/>
      <w:marTop w:val="0"/>
      <w:marBottom w:val="0"/>
      <w:divBdr>
        <w:top w:val="none" w:sz="0" w:space="0" w:color="auto"/>
        <w:left w:val="none" w:sz="0" w:space="0" w:color="auto"/>
        <w:bottom w:val="none" w:sz="0" w:space="0" w:color="auto"/>
        <w:right w:val="none" w:sz="0" w:space="0" w:color="auto"/>
      </w:divBdr>
      <w:divsChild>
        <w:div w:id="1177158883">
          <w:marLeft w:val="0"/>
          <w:marRight w:val="0"/>
          <w:marTop w:val="0"/>
          <w:marBottom w:val="0"/>
          <w:divBdr>
            <w:top w:val="none" w:sz="0" w:space="0" w:color="auto"/>
            <w:left w:val="none" w:sz="0" w:space="0" w:color="auto"/>
            <w:bottom w:val="none" w:sz="0" w:space="0" w:color="auto"/>
            <w:right w:val="none" w:sz="0" w:space="0" w:color="auto"/>
          </w:divBdr>
          <w:divsChild>
            <w:div w:id="1147239056">
              <w:marLeft w:val="0"/>
              <w:marRight w:val="0"/>
              <w:marTop w:val="0"/>
              <w:marBottom w:val="0"/>
              <w:divBdr>
                <w:top w:val="none" w:sz="0" w:space="0" w:color="auto"/>
                <w:left w:val="none" w:sz="0" w:space="0" w:color="auto"/>
                <w:bottom w:val="none" w:sz="0" w:space="0" w:color="auto"/>
                <w:right w:val="none" w:sz="0" w:space="0" w:color="auto"/>
              </w:divBdr>
              <w:divsChild>
                <w:div w:id="1265378311">
                  <w:marLeft w:val="0"/>
                  <w:marRight w:val="0"/>
                  <w:marTop w:val="0"/>
                  <w:marBottom w:val="0"/>
                  <w:divBdr>
                    <w:top w:val="none" w:sz="0" w:space="0" w:color="auto"/>
                    <w:left w:val="none" w:sz="0" w:space="0" w:color="auto"/>
                    <w:bottom w:val="none" w:sz="0" w:space="0" w:color="auto"/>
                    <w:right w:val="none" w:sz="0" w:space="0" w:color="auto"/>
                  </w:divBdr>
                </w:div>
              </w:divsChild>
            </w:div>
            <w:div w:id="1518622019">
              <w:marLeft w:val="0"/>
              <w:marRight w:val="0"/>
              <w:marTop w:val="0"/>
              <w:marBottom w:val="0"/>
              <w:divBdr>
                <w:top w:val="none" w:sz="0" w:space="0" w:color="auto"/>
                <w:left w:val="none" w:sz="0" w:space="0" w:color="auto"/>
                <w:bottom w:val="none" w:sz="0" w:space="0" w:color="auto"/>
                <w:right w:val="none" w:sz="0" w:space="0" w:color="auto"/>
              </w:divBdr>
              <w:divsChild>
                <w:div w:id="220679129">
                  <w:marLeft w:val="0"/>
                  <w:marRight w:val="0"/>
                  <w:marTop w:val="0"/>
                  <w:marBottom w:val="0"/>
                  <w:divBdr>
                    <w:top w:val="none" w:sz="0" w:space="0" w:color="auto"/>
                    <w:left w:val="none" w:sz="0" w:space="0" w:color="auto"/>
                    <w:bottom w:val="none" w:sz="0" w:space="0" w:color="auto"/>
                    <w:right w:val="none" w:sz="0" w:space="0" w:color="auto"/>
                  </w:divBdr>
                </w:div>
              </w:divsChild>
            </w:div>
            <w:div w:id="1729375775">
              <w:marLeft w:val="0"/>
              <w:marRight w:val="0"/>
              <w:marTop w:val="0"/>
              <w:marBottom w:val="0"/>
              <w:divBdr>
                <w:top w:val="none" w:sz="0" w:space="0" w:color="auto"/>
                <w:left w:val="none" w:sz="0" w:space="0" w:color="auto"/>
                <w:bottom w:val="none" w:sz="0" w:space="0" w:color="auto"/>
                <w:right w:val="none" w:sz="0" w:space="0" w:color="auto"/>
              </w:divBdr>
              <w:divsChild>
                <w:div w:id="274290220">
                  <w:marLeft w:val="0"/>
                  <w:marRight w:val="0"/>
                  <w:marTop w:val="0"/>
                  <w:marBottom w:val="0"/>
                  <w:divBdr>
                    <w:top w:val="none" w:sz="0" w:space="0" w:color="auto"/>
                    <w:left w:val="none" w:sz="0" w:space="0" w:color="auto"/>
                    <w:bottom w:val="none" w:sz="0" w:space="0" w:color="auto"/>
                    <w:right w:val="none" w:sz="0" w:space="0" w:color="auto"/>
                  </w:divBdr>
                </w:div>
              </w:divsChild>
            </w:div>
            <w:div w:id="343476142">
              <w:marLeft w:val="0"/>
              <w:marRight w:val="0"/>
              <w:marTop w:val="0"/>
              <w:marBottom w:val="0"/>
              <w:divBdr>
                <w:top w:val="none" w:sz="0" w:space="0" w:color="auto"/>
                <w:left w:val="none" w:sz="0" w:space="0" w:color="auto"/>
                <w:bottom w:val="none" w:sz="0" w:space="0" w:color="auto"/>
                <w:right w:val="none" w:sz="0" w:space="0" w:color="auto"/>
              </w:divBdr>
              <w:divsChild>
                <w:div w:id="1800948475">
                  <w:marLeft w:val="0"/>
                  <w:marRight w:val="0"/>
                  <w:marTop w:val="0"/>
                  <w:marBottom w:val="0"/>
                  <w:divBdr>
                    <w:top w:val="none" w:sz="0" w:space="0" w:color="auto"/>
                    <w:left w:val="none" w:sz="0" w:space="0" w:color="auto"/>
                    <w:bottom w:val="none" w:sz="0" w:space="0" w:color="auto"/>
                    <w:right w:val="none" w:sz="0" w:space="0" w:color="auto"/>
                  </w:divBdr>
                </w:div>
              </w:divsChild>
            </w:div>
            <w:div w:id="1878589903">
              <w:marLeft w:val="0"/>
              <w:marRight w:val="0"/>
              <w:marTop w:val="0"/>
              <w:marBottom w:val="0"/>
              <w:divBdr>
                <w:top w:val="none" w:sz="0" w:space="0" w:color="auto"/>
                <w:left w:val="none" w:sz="0" w:space="0" w:color="auto"/>
                <w:bottom w:val="none" w:sz="0" w:space="0" w:color="auto"/>
                <w:right w:val="none" w:sz="0" w:space="0" w:color="auto"/>
              </w:divBdr>
              <w:divsChild>
                <w:div w:id="900022816">
                  <w:marLeft w:val="0"/>
                  <w:marRight w:val="0"/>
                  <w:marTop w:val="0"/>
                  <w:marBottom w:val="0"/>
                  <w:divBdr>
                    <w:top w:val="none" w:sz="0" w:space="0" w:color="auto"/>
                    <w:left w:val="none" w:sz="0" w:space="0" w:color="auto"/>
                    <w:bottom w:val="none" w:sz="0" w:space="0" w:color="auto"/>
                    <w:right w:val="none" w:sz="0" w:space="0" w:color="auto"/>
                  </w:divBdr>
                </w:div>
              </w:divsChild>
            </w:div>
            <w:div w:id="1928221258">
              <w:marLeft w:val="0"/>
              <w:marRight w:val="0"/>
              <w:marTop w:val="0"/>
              <w:marBottom w:val="0"/>
              <w:divBdr>
                <w:top w:val="none" w:sz="0" w:space="0" w:color="auto"/>
                <w:left w:val="none" w:sz="0" w:space="0" w:color="auto"/>
                <w:bottom w:val="none" w:sz="0" w:space="0" w:color="auto"/>
                <w:right w:val="none" w:sz="0" w:space="0" w:color="auto"/>
              </w:divBdr>
              <w:divsChild>
                <w:div w:id="1996568990">
                  <w:marLeft w:val="0"/>
                  <w:marRight w:val="0"/>
                  <w:marTop w:val="0"/>
                  <w:marBottom w:val="0"/>
                  <w:divBdr>
                    <w:top w:val="none" w:sz="0" w:space="0" w:color="auto"/>
                    <w:left w:val="none" w:sz="0" w:space="0" w:color="auto"/>
                    <w:bottom w:val="none" w:sz="0" w:space="0" w:color="auto"/>
                    <w:right w:val="none" w:sz="0" w:space="0" w:color="auto"/>
                  </w:divBdr>
                </w:div>
              </w:divsChild>
            </w:div>
            <w:div w:id="2064522688">
              <w:marLeft w:val="0"/>
              <w:marRight w:val="0"/>
              <w:marTop w:val="0"/>
              <w:marBottom w:val="0"/>
              <w:divBdr>
                <w:top w:val="none" w:sz="0" w:space="0" w:color="auto"/>
                <w:left w:val="none" w:sz="0" w:space="0" w:color="auto"/>
                <w:bottom w:val="none" w:sz="0" w:space="0" w:color="auto"/>
                <w:right w:val="none" w:sz="0" w:space="0" w:color="auto"/>
              </w:divBdr>
              <w:divsChild>
                <w:div w:id="191497817">
                  <w:marLeft w:val="0"/>
                  <w:marRight w:val="0"/>
                  <w:marTop w:val="0"/>
                  <w:marBottom w:val="0"/>
                  <w:divBdr>
                    <w:top w:val="none" w:sz="0" w:space="0" w:color="auto"/>
                    <w:left w:val="none" w:sz="0" w:space="0" w:color="auto"/>
                    <w:bottom w:val="none" w:sz="0" w:space="0" w:color="auto"/>
                    <w:right w:val="none" w:sz="0" w:space="0" w:color="auto"/>
                  </w:divBdr>
                </w:div>
              </w:divsChild>
            </w:div>
            <w:div w:id="387657217">
              <w:marLeft w:val="0"/>
              <w:marRight w:val="0"/>
              <w:marTop w:val="0"/>
              <w:marBottom w:val="0"/>
              <w:divBdr>
                <w:top w:val="none" w:sz="0" w:space="0" w:color="auto"/>
                <w:left w:val="none" w:sz="0" w:space="0" w:color="auto"/>
                <w:bottom w:val="none" w:sz="0" w:space="0" w:color="auto"/>
                <w:right w:val="none" w:sz="0" w:space="0" w:color="auto"/>
              </w:divBdr>
              <w:divsChild>
                <w:div w:id="1441801713">
                  <w:marLeft w:val="0"/>
                  <w:marRight w:val="0"/>
                  <w:marTop w:val="0"/>
                  <w:marBottom w:val="0"/>
                  <w:divBdr>
                    <w:top w:val="none" w:sz="0" w:space="0" w:color="auto"/>
                    <w:left w:val="none" w:sz="0" w:space="0" w:color="auto"/>
                    <w:bottom w:val="none" w:sz="0" w:space="0" w:color="auto"/>
                    <w:right w:val="none" w:sz="0" w:space="0" w:color="auto"/>
                  </w:divBdr>
                </w:div>
              </w:divsChild>
            </w:div>
            <w:div w:id="1884445261">
              <w:marLeft w:val="0"/>
              <w:marRight w:val="0"/>
              <w:marTop w:val="0"/>
              <w:marBottom w:val="0"/>
              <w:divBdr>
                <w:top w:val="none" w:sz="0" w:space="0" w:color="auto"/>
                <w:left w:val="none" w:sz="0" w:space="0" w:color="auto"/>
                <w:bottom w:val="none" w:sz="0" w:space="0" w:color="auto"/>
                <w:right w:val="none" w:sz="0" w:space="0" w:color="auto"/>
              </w:divBdr>
              <w:divsChild>
                <w:div w:id="1658874480">
                  <w:marLeft w:val="0"/>
                  <w:marRight w:val="0"/>
                  <w:marTop w:val="0"/>
                  <w:marBottom w:val="0"/>
                  <w:divBdr>
                    <w:top w:val="none" w:sz="0" w:space="0" w:color="auto"/>
                    <w:left w:val="none" w:sz="0" w:space="0" w:color="auto"/>
                    <w:bottom w:val="none" w:sz="0" w:space="0" w:color="auto"/>
                    <w:right w:val="none" w:sz="0" w:space="0" w:color="auto"/>
                  </w:divBdr>
                </w:div>
              </w:divsChild>
            </w:div>
            <w:div w:id="806774371">
              <w:marLeft w:val="0"/>
              <w:marRight w:val="0"/>
              <w:marTop w:val="0"/>
              <w:marBottom w:val="0"/>
              <w:divBdr>
                <w:top w:val="none" w:sz="0" w:space="0" w:color="auto"/>
                <w:left w:val="none" w:sz="0" w:space="0" w:color="auto"/>
                <w:bottom w:val="none" w:sz="0" w:space="0" w:color="auto"/>
                <w:right w:val="none" w:sz="0" w:space="0" w:color="auto"/>
              </w:divBdr>
              <w:divsChild>
                <w:div w:id="1792285085">
                  <w:marLeft w:val="0"/>
                  <w:marRight w:val="0"/>
                  <w:marTop w:val="0"/>
                  <w:marBottom w:val="0"/>
                  <w:divBdr>
                    <w:top w:val="none" w:sz="0" w:space="0" w:color="auto"/>
                    <w:left w:val="none" w:sz="0" w:space="0" w:color="auto"/>
                    <w:bottom w:val="none" w:sz="0" w:space="0" w:color="auto"/>
                    <w:right w:val="none" w:sz="0" w:space="0" w:color="auto"/>
                  </w:divBdr>
                </w:div>
              </w:divsChild>
            </w:div>
            <w:div w:id="1409381832">
              <w:marLeft w:val="0"/>
              <w:marRight w:val="0"/>
              <w:marTop w:val="0"/>
              <w:marBottom w:val="0"/>
              <w:divBdr>
                <w:top w:val="none" w:sz="0" w:space="0" w:color="auto"/>
                <w:left w:val="none" w:sz="0" w:space="0" w:color="auto"/>
                <w:bottom w:val="none" w:sz="0" w:space="0" w:color="auto"/>
                <w:right w:val="none" w:sz="0" w:space="0" w:color="auto"/>
              </w:divBdr>
              <w:divsChild>
                <w:div w:id="2070497033">
                  <w:marLeft w:val="0"/>
                  <w:marRight w:val="0"/>
                  <w:marTop w:val="0"/>
                  <w:marBottom w:val="0"/>
                  <w:divBdr>
                    <w:top w:val="none" w:sz="0" w:space="0" w:color="auto"/>
                    <w:left w:val="none" w:sz="0" w:space="0" w:color="auto"/>
                    <w:bottom w:val="none" w:sz="0" w:space="0" w:color="auto"/>
                    <w:right w:val="none" w:sz="0" w:space="0" w:color="auto"/>
                  </w:divBdr>
                </w:div>
              </w:divsChild>
            </w:div>
            <w:div w:id="823661436">
              <w:marLeft w:val="0"/>
              <w:marRight w:val="0"/>
              <w:marTop w:val="0"/>
              <w:marBottom w:val="0"/>
              <w:divBdr>
                <w:top w:val="none" w:sz="0" w:space="0" w:color="auto"/>
                <w:left w:val="none" w:sz="0" w:space="0" w:color="auto"/>
                <w:bottom w:val="none" w:sz="0" w:space="0" w:color="auto"/>
                <w:right w:val="none" w:sz="0" w:space="0" w:color="auto"/>
              </w:divBdr>
              <w:divsChild>
                <w:div w:id="856774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0112056">
          <w:marLeft w:val="0"/>
          <w:marRight w:val="0"/>
          <w:marTop w:val="0"/>
          <w:marBottom w:val="0"/>
          <w:divBdr>
            <w:top w:val="none" w:sz="0" w:space="0" w:color="auto"/>
            <w:left w:val="none" w:sz="0" w:space="0" w:color="auto"/>
            <w:bottom w:val="none" w:sz="0" w:space="0" w:color="auto"/>
            <w:right w:val="none" w:sz="0" w:space="0" w:color="auto"/>
          </w:divBdr>
        </w:div>
      </w:divsChild>
    </w:div>
    <w:div w:id="1624189319">
      <w:bodyDiv w:val="1"/>
      <w:marLeft w:val="0"/>
      <w:marRight w:val="0"/>
      <w:marTop w:val="0"/>
      <w:marBottom w:val="0"/>
      <w:divBdr>
        <w:top w:val="none" w:sz="0" w:space="0" w:color="auto"/>
        <w:left w:val="none" w:sz="0" w:space="0" w:color="auto"/>
        <w:bottom w:val="none" w:sz="0" w:space="0" w:color="auto"/>
        <w:right w:val="none" w:sz="0" w:space="0" w:color="auto"/>
      </w:divBdr>
    </w:div>
    <w:div w:id="1790850834">
      <w:bodyDiv w:val="1"/>
      <w:marLeft w:val="0"/>
      <w:marRight w:val="0"/>
      <w:marTop w:val="0"/>
      <w:marBottom w:val="0"/>
      <w:divBdr>
        <w:top w:val="none" w:sz="0" w:space="0" w:color="auto"/>
        <w:left w:val="none" w:sz="0" w:space="0" w:color="auto"/>
        <w:bottom w:val="none" w:sz="0" w:space="0" w:color="auto"/>
        <w:right w:val="none" w:sz="0" w:space="0" w:color="auto"/>
      </w:divBdr>
    </w:div>
    <w:div w:id="1834249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Microsoft_Visio_2003-2010_Drawing12.vsd"/><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oleObject" Target="embeddings/Microsoft_Visio_2003-2010_Drawing14.vsd"/><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Microsoft_Visio_2003-2010_Drawing13.vsd"/></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22C4744E2C3194A99119A9C6B17BC0A" ma:contentTypeVersion="13" ma:contentTypeDescription="Create a new document." ma:contentTypeScope="" ma:versionID="3510bb7acece430bf6583b7373a838fc">
  <xsd:schema xmlns:xsd="http://www.w3.org/2001/XMLSchema" xmlns:xs="http://www.w3.org/2001/XMLSchema" xmlns:p="http://schemas.microsoft.com/office/2006/metadata/properties" xmlns:ns3="16d3abbb-ac62-4723-a952-e511a3121568" xmlns:ns4="69f6baf6-0e22-4b51-814b-1cf2778135e5" targetNamespace="http://schemas.microsoft.com/office/2006/metadata/properties" ma:root="true" ma:fieldsID="144d24dc9061aa1a11d5cbbb94cff5e5" ns3:_="" ns4:_="">
    <xsd:import namespace="16d3abbb-ac62-4723-a952-e511a3121568"/>
    <xsd:import namespace="69f6baf6-0e22-4b51-814b-1cf2778135e5"/>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6d3abbb-ac62-4723-a952-e511a312156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9f6baf6-0e22-4b51-814b-1cf2778135e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50B23C-9D76-4BAB-8003-C985E2E48D89}">
  <ds:schemaRefs>
    <ds:schemaRef ds:uri="http://schemas.microsoft.com/sharepoint/v3/contenttype/forms"/>
  </ds:schemaRefs>
</ds:datastoreItem>
</file>

<file path=customXml/itemProps2.xml><?xml version="1.0" encoding="utf-8"?>
<ds:datastoreItem xmlns:ds="http://schemas.openxmlformats.org/officeDocument/2006/customXml" ds:itemID="{69F7D384-63B4-4629-90AD-A8E7DE2D98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6d3abbb-ac62-4723-a952-e511a3121568"/>
    <ds:schemaRef ds:uri="69f6baf6-0e22-4b51-814b-1cf2778135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FEFB52A-5325-4AFA-924E-B8F9621AFA6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132EA38-D52A-4E39-8F80-B0715F0126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232</TotalTime>
  <Pages>7</Pages>
  <Words>3324</Words>
  <Characters>18953</Characters>
  <Application>Microsoft Office Word</Application>
  <DocSecurity>0</DocSecurity>
  <Lines>157</Lines>
  <Paragraphs>44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LS template</vt:lpstr>
      <vt:lpstr>LS template</vt:lpstr>
    </vt:vector>
  </TitlesOfParts>
  <Company>ETSI Sophia Antipolis</Company>
  <LinksUpToDate>false</LinksUpToDate>
  <CharactersWithSpaces>22233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dc:title>
  <dc:creator>NTT DOCOMO</dc:creator>
  <cp:lastModifiedBy>Huawei</cp:lastModifiedBy>
  <cp:revision>103</cp:revision>
  <cp:lastPrinted>2002-04-23T00:10:00Z</cp:lastPrinted>
  <dcterms:created xsi:type="dcterms:W3CDTF">2022-04-20T04:48:00Z</dcterms:created>
  <dcterms:modified xsi:type="dcterms:W3CDTF">2022-04-25T04:36:00Z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0x010100B22C4744E2C3194A99119A9C6B17BC0A</vt:lpwstr>
  </property>
  <property fmtid="{D5CDD505-2E9C-101B-9397-08002B2CF9AE}" pid="4" name="_2015_ms_pID_725343">
    <vt:lpwstr>(3)48ssJ/AF9rJXdA/HYd2q5lFCVHaY38Hjc3Cg/8LxlHtvMmXIF/a5r1eI33m7b9dSffXv5Kz3
bnS51ZVhXkH/cpZx0B04ddxzOrAf5NR4mDGr6au7aGMFp/mwCZlSswH8ngYimhEL0HffyES4
kR9CZHvJhVUZwHv0uTBOUs7mt/muyYyYuhwMFKqJOQX4qr4hAtt0eu3YZDnpZfbmCy4ycVg0
f/s15IlRXqpevaOdXL</vt:lpwstr>
  </property>
  <property fmtid="{D5CDD505-2E9C-101B-9397-08002B2CF9AE}" pid="5" name="_2015_ms_pID_7253431">
    <vt:lpwstr>2cTC4LW0fQzCZPA/96bHp4kHgn7UUsB2NdspWx5nGBCCgvf/itJ0TG
+qTE3tIFlUhcEzOhHbfqWlsBpvLsyY4P4a83Y12iSsfzQ5rYJcPrgNdEwtoGLk/N4bfCf5j+
HlcGvWZD2YD4/9D2HoMBeUnlgmlxa3rsI8RnbV6VTd43ylFhGkO0D1vt1ENmBAaDgQBanH3I
XXpsSzHya0eIbeZQLVxt5YQQRLFthrdQjxhS</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1650249878</vt:lpwstr>
  </property>
  <property fmtid="{D5CDD505-2E9C-101B-9397-08002B2CF9AE}" pid="10" name="_2015_ms_pID_7253432">
    <vt:lpwstr>ZXjY25c4STu2NVto7JrRlH8=</vt:lpwstr>
  </property>
</Properties>
</file>